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4FCDEEB2" w:rsidR="00FF54E6" w:rsidRPr="00C24F17" w:rsidRDefault="00C24F17" w:rsidP="00C24F17">
      <w:r>
        <w:rPr>
          <w:rFonts w:ascii="MS Mincho" w:eastAsia="MS Mincho" w:hAnsi="MS Mincho" w:cs="MS Mincho" w:hint="eastAsia"/>
        </w:rPr>
        <w:t>･</w:t>
      </w:r>
      <w:r>
        <w:t xml:space="preserve"> 특정외국법인의 배당 가능한 유보소득 × </w:t>
      </w:r>
      <w:proofErr w:type="spellStart"/>
      <w:r>
        <w:t>국조법</w:t>
      </w:r>
      <w:proofErr w:type="spellEnd"/>
      <w:r>
        <w:t xml:space="preserve"> 제29조제2항 소득의 합계 – 특정외국법인이 다른 외국법인의 주식을 10% 이상 보유한 경우로서 그 주식에서 발생하는 배당금* </w:t>
      </w:r>
      <w:r w:rsidR="00B52299">
        <w:t xml:space="preserve">/ </w:t>
      </w:r>
      <w:r>
        <w:t xml:space="preserve">총수입금액 * 수동소득 </w:t>
      </w:r>
      <w:proofErr w:type="spellStart"/>
      <w:r>
        <w:t>계산시</w:t>
      </w:r>
      <w:proofErr w:type="spellEnd"/>
      <w:r>
        <w:t xml:space="preserve"> 제외되는 소득 : 특정외국법인이 §29①각호 외의 사업을 하는 외국법인 및 §29①1가목의 사업을 하는 외국법인으로 도매업 적용제외 요건을 충족하는 외국법인의 주식을 10% 이상 보유한 경우 그 주식에서 발생한 배당금</w:t>
      </w:r>
    </w:p>
    <w:sectPr w:rsidR="00FF54E6" w:rsidRPr="00C24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1C1A07"/>
    <w:rsid w:val="003C751B"/>
    <w:rsid w:val="00496BB9"/>
    <w:rsid w:val="00501EB4"/>
    <w:rsid w:val="0053331E"/>
    <w:rsid w:val="008E3361"/>
    <w:rsid w:val="009242BA"/>
    <w:rsid w:val="00B52299"/>
    <w:rsid w:val="00C24F17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2023-09-30T14:30:00Z</dcterms:created>
  <dcterms:modified xsi:type="dcterms:W3CDTF">2023-10-05T23:45:00Z</dcterms:modified>
</cp:coreProperties>
</file>