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B0A5" w14:textId="67BDD9ED" w:rsidR="009317EE" w:rsidRDefault="006B35A5">
      <w:r>
        <w:t xml:space="preserve">■ 국제조세조정에 관한 법률 시행규칙 [별지 제25호서식] 사업연도 . . . ~ . . . 국외지배주주에 대한 원천징수세액 조정 명세서 </w:t>
      </w:r>
      <w:proofErr w:type="spellStart"/>
      <w:r>
        <w:t>법인명</w:t>
      </w:r>
      <w:proofErr w:type="spellEnd"/>
      <w:r>
        <w:t xml:space="preserve"> 1. 당기 국외지배주주에 대한 지급이자 및 원천징수 현황 ① 명칭 ② 원금 ③ 차입 기간 ④ 당기 발생이자 당기 원천징수 내용 ⑤ 지급일 ⑥ 지급액 ⑦ 세율 ⑧ 원천징수세액 소계 2. 당기 국외지배주주에 대한 지급이자 </w:t>
      </w:r>
      <w:proofErr w:type="spellStart"/>
      <w:r>
        <w:t>손금불산입액</w:t>
      </w:r>
      <w:proofErr w:type="spellEnd"/>
      <w:r>
        <w:t xml:space="preserve"> 세액 조정 내용 ⑨ 명칭 ⑩ 손금 불산입액 ⑪ 배당세율 ⑫ 이자세율 ⑬ 세율 차이 (⑪ - ⑫) ⑭ 조정세액(⑩ × ⑬) 소계 작성방법 1. ①은 차입금을 빌려준 국외지배주주의 명칭을 적습니다. 2. ④는 당기에 귀속되는 지급이자로서 손금에 산입하는 금액을 적습니다. 3. ⑤는 당기 발생이자를 실제 지급한 날을 적고, 당기 말 현재 이자가 지급되지 않은 경우에는 “미지급”</w:t>
      </w:r>
      <w:proofErr w:type="spellStart"/>
      <w:r>
        <w:t>으로</w:t>
      </w:r>
      <w:proofErr w:type="spellEnd"/>
      <w:r>
        <w:t xml:space="preserve"> 적습니다. 4. ⑧은 가산세를 제외한 원천징수세액을 적습니다. ※ ⑭의 조정세액이 양수(+)인 경우(납부할 세액이 있는 경우)에는 「법인세법」 제60조제1항의 신고기한이 속하는 달의 다음 달 10일까지 그 금액을 납세지 관할 세무서장에게 납부해야 하며, 조정세액이 음수(-)인 경우(</w:t>
      </w:r>
      <w:proofErr w:type="spellStart"/>
      <w:r>
        <w:t>환급받을</w:t>
      </w:r>
      <w:proofErr w:type="spellEnd"/>
      <w:r>
        <w:t xml:space="preserve"> 세액이 있는 경우)에는 납세지 관할 세무서장에게 그 금액의 환급을 신청할 수 있습니다. 210mm×297mm[</w:t>
      </w:r>
      <w:proofErr w:type="spellStart"/>
      <w:r>
        <w:t>백상지</w:t>
      </w:r>
      <w:proofErr w:type="spellEnd"/>
      <w:r>
        <w:t xml:space="preserve"> 80g/㎡ 또는 중질지 80g/㎡]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A5"/>
    <w:rsid w:val="006B35A5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5CB8"/>
  <w15:chartTrackingRefBased/>
  <w15:docId w15:val="{82D4DADB-E7CB-4CC3-BC1B-91C97620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2023-09-06T04:33:00Z</dcterms:created>
  <dcterms:modified xsi:type="dcterms:W3CDTF">2023-09-06T04:33:00Z</dcterms:modified>
</cp:coreProperties>
</file>