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56D5" w14:textId="5FA3B6B6" w:rsidR="009317EE" w:rsidRDefault="001862E2">
      <w:r>
        <w:t xml:space="preserve">(뒤쪽) 작성방법 ※ 내국법인에 차입금을 대여한 외국주주(내국법인이 제3자로부터 차입한 금액에 대하여 지급보증을 한 외국주주를 포함합니다)가 없는 경우에는 이 명세서를 작성하지 않습니다. ※ 내국법인이 금융업과 금융업이 아닌 업종을 겸영하고 그 내국법인의 출자금액 또는 차입금이 업종별로 구분되지 않는 경우 「국제조세조정에 관한 법률 시행령」 제50조에 따라 업종별로 구분되지 않는 출자금액 또는 차입금을 금융업과 금융업이 아닌 업종에 배분하여 적습니다. 이 경우 배분의 근거가 되는 증명서류(영업이익 기준 배분은 </w:t>
      </w:r>
      <w:proofErr w:type="spellStart"/>
      <w:r>
        <w:t>구분손익계산서</w:t>
      </w:r>
      <w:proofErr w:type="spellEnd"/>
      <w:r>
        <w:t xml:space="preserve">, </w:t>
      </w:r>
      <w:proofErr w:type="spellStart"/>
      <w:r>
        <w:t>개별손금</w:t>
      </w:r>
      <w:proofErr w:type="spellEnd"/>
      <w:r>
        <w:t xml:space="preserve"> 기준 배분은 </w:t>
      </w:r>
      <w:proofErr w:type="spellStart"/>
      <w:r>
        <w:t>업종별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계정별</w:t>
      </w:r>
      <w:proofErr w:type="spellEnd"/>
      <w:r>
        <w:t xml:space="preserve"> </w:t>
      </w:r>
      <w:proofErr w:type="spellStart"/>
      <w:r>
        <w:t>개별손금</w:t>
      </w:r>
      <w:proofErr w:type="spellEnd"/>
      <w:r>
        <w:t xml:space="preserve"> 명세)를 첨부해야 합니다. 1. ①은 국외지배주주에게 지급하는 이자에 대한 조정 명세서(병) [별지 제24호서식(병)] 중 ⑦의 합계금액을 금융업과 비금융업으로 구분하여 적습니다. 2. ①의 국외지배주주의 </w:t>
      </w:r>
      <w:proofErr w:type="spellStart"/>
      <w:r>
        <w:t>특수관계인이란</w:t>
      </w:r>
      <w:proofErr w:type="spellEnd"/>
      <w:r>
        <w:t xml:space="preserve"> 국외지배주주와 「국세기본법」 제2조제20호 </w:t>
      </w:r>
      <w:proofErr w:type="spellStart"/>
      <w:r>
        <w:t>가목</w:t>
      </w:r>
      <w:proofErr w:type="spellEnd"/>
      <w:r>
        <w:t xml:space="preserve"> 또는 </w:t>
      </w:r>
      <w:proofErr w:type="spellStart"/>
      <w:r>
        <w:t>나목의</w:t>
      </w:r>
      <w:proofErr w:type="spellEnd"/>
      <w:r>
        <w:t xml:space="preserve"> 관계에 있는 자를 말합니다. 3. ②는 [별지 제24호서식(병)] 중 ⑫의 합계금액을 금융업과 비금융업으로 구분하여 적습니다. 4. ③은 [별지 제24호서식(병)] 중 </w:t>
      </w:r>
      <w:r>
        <w:rPr>
          <w:rFonts w:ascii="Cambria Math" w:hAnsi="Cambria Math" w:cs="Cambria Math"/>
        </w:rPr>
        <w:t>⑯</w:t>
      </w:r>
      <w:r>
        <w:t xml:space="preserve">의 합계금액을 금융업과 비금융업으로 구분하여 적습니다. 5. ④는 [별지 제24호서식(병)] 중 </w:t>
      </w:r>
      <w:r>
        <w:rPr>
          <w:rFonts w:ascii="Cambria Math" w:hAnsi="Cambria Math" w:cs="Cambria Math"/>
        </w:rPr>
        <w:t>⑳</w:t>
      </w:r>
      <w:r>
        <w:t xml:space="preserve">의 합계금액을 금융업과 비금융업으로 구분하여 적습니다. 6. ⑧은 금융업 외 업종은 “2”를, 금융업은 “6”을, 「국제조세조정에 관한 법률 시행령」 제51조제1항제2호에 따른 비교대상배수가 있는 경우에는 그 비교대상배수를 적습니다. 7. ⑨의 계산 결과가 음수(-)인 경우에는 “0”을 적고, 이 경우 “2. 손금 불산입액의 계산”란을 작성하지 않습니다. 8. ⑩, ⑪, ⑫는 [별지 제24호서식(병)] 중 “1. 차입금 적수 계산”란에 적은 차입금 순서대로 계산하되, ⑪의 누계가 ⑨의 초과 적수가 될 </w:t>
      </w:r>
      <w:proofErr w:type="spellStart"/>
      <w:r>
        <w:t>때까지로</w:t>
      </w:r>
      <w:proofErr w:type="spellEnd"/>
      <w:r>
        <w:t xml:space="preserve"> 하고, 누적한 적수가 초과 적수보다 많아지게 되는 때의 마지막 차입금의 적수 중 초과 적수보다 많아지는 부분은 제외합니다. 9. ⑫의 연중 일수는 “365”로 하되, 윤년의 경우에는 “366”으로 합니다. 10. ⑫의 합계금액을 계산할 때, 해당 차입금 중 「국제조세조정에 관한 법률」 제22조제4항에 따른 통상적인 차입 규모 및 조건에 해당하는 차입금은 합산하지 않습니다. 이 경우 해당 차입금이 통상적인 차입 규모 및 조건에 해당함을 증명하는 관련 서류를 따로 첨부해야 합니다.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E2"/>
    <w:rsid w:val="001862E2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2734"/>
  <w15:chartTrackingRefBased/>
  <w15:docId w15:val="{55424695-2E68-4815-9B07-E29A75AD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2023-09-06T04:26:00Z</dcterms:created>
  <dcterms:modified xsi:type="dcterms:W3CDTF">2023-09-06T04:27:00Z</dcterms:modified>
</cp:coreProperties>
</file>