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D96E3" w14:textId="7CD1601D" w:rsidR="009317EE" w:rsidRDefault="00471032">
      <w:r>
        <w:t xml:space="preserve">■ 국제조세조정에 관한 법률 시행규칙 [별지 제24호서식(갑)] (앞쪽) 사업 연도 . . . ∼ . . . 국외지배주주에게 지급하는 </w:t>
      </w:r>
      <w:proofErr w:type="spellStart"/>
      <w:r>
        <w:t>이자등에</w:t>
      </w:r>
      <w:proofErr w:type="spellEnd"/>
      <w:r>
        <w:t xml:space="preserve"> 대한 조정 명세서(갑) </w:t>
      </w:r>
      <w:proofErr w:type="spellStart"/>
      <w:r>
        <w:t>법인명</w:t>
      </w:r>
      <w:proofErr w:type="spellEnd"/>
      <w:r>
        <w:t xml:space="preserve"> 1. </w:t>
      </w:r>
      <w:proofErr w:type="spellStart"/>
      <w:r>
        <w:t>초과차입금적수</w:t>
      </w:r>
      <w:proofErr w:type="spellEnd"/>
      <w:r>
        <w:t xml:space="preserve">(積數)의 계산 금융업 비금융업 ① 국외지배주주로부터 차입한 금액(국외지배주주의 특수관계인으로부터 차입한 금액 및 국외지배주주의 지급보증으로 제3자로부터 차입한 금액 포함)의 적수 ② 내국법인(외국법인 국내사업장)의 자기자본금 적수 납입자본 ③ 내국법인의 총납입자본금 적수 ④ 국외지배주주의 납입자본금 적수 ⑤ 납입자본금 비율(④ ÷ ③) ⑥ ②와 ③ 중 큰 금액 ⑦ 국외지배주주의 내국법인 출자금액 적수(⑤ × ⑥) ⑧ 업종별 배수 ⑨ 초과 적수[(① - (⑦ × ⑧)] 2. </w:t>
      </w:r>
      <w:proofErr w:type="spellStart"/>
      <w:r>
        <w:t>손금불산입액의</w:t>
      </w:r>
      <w:proofErr w:type="spellEnd"/>
      <w:r>
        <w:t xml:space="preserve"> 계산 ⑩ 차입금 이자율 ⑪ 차입금 적수 ⑫ </w:t>
      </w:r>
      <w:proofErr w:type="spellStart"/>
      <w:r>
        <w:t>손금불산입액</w:t>
      </w:r>
      <w:proofErr w:type="spellEnd"/>
      <w:r>
        <w:t>(⑩ × ⑪ ÷ 연중 일수) 합 계 210mm×297mm[</w:t>
      </w:r>
      <w:proofErr w:type="spellStart"/>
      <w:r>
        <w:t>백상지</w:t>
      </w:r>
      <w:proofErr w:type="spellEnd"/>
      <w:r>
        <w:t xml:space="preserve"> 80g/㎡ 또는 중질지 80g/㎡]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32"/>
    <w:rsid w:val="00471032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A57B"/>
  <w15:chartTrackingRefBased/>
  <w15:docId w15:val="{B30E3C3A-92CF-4E0A-8D1A-33958179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2023-09-06T04:24:00Z</dcterms:created>
  <dcterms:modified xsi:type="dcterms:W3CDTF">2023-09-06T04:25:00Z</dcterms:modified>
</cp:coreProperties>
</file>