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8E58" w14:textId="42557581" w:rsidR="009317EE" w:rsidRDefault="008419F2">
      <w:proofErr w:type="spellStart"/>
      <w:r>
        <w:t>국조법</w:t>
      </w:r>
      <w:proofErr w:type="spellEnd"/>
      <w:r>
        <w:t xml:space="preserve"> 시행령§2③ 주식의 간접소유비율은 다음 각 호의 방법으로 계산함 1. 어느 한 쪽 법인이 다른 쪽 법인의 주주인 법인(이하 “주주법인”이라 한다)의 의결권 있는 주식의 100분의 50 이상을 소유하고 있는 경우에는 주주법인이 소유하고 있는 다른 쪽 법인의 의결권 있는 주식이 그 다른 쪽 법인의 의결권 있는 주식에서 차지하는 비율(이하 “주주법인의 주식소유비율”이라 한다)을 어느 한 쪽 법인의 다른 쪽 법인에 대한 간접소유비율로 한다. 다만, 주주법인이 둘 이상인 경우에는 주주법인별로 계산한 비율을 합계한 비율을 어느 한 쪽 법인의 다른 쪽 법인에 대한 간접소유비율로 한다. 2. 어느 한 쪽 법인이 다른 쪽 법인의 주주법인의 의결권 있는 주식의 100분의 50 미만을 소유하고 있는 경우에는 그 소유비율에 주주법인의 주식소유비율을 곱한 비율을 어느 한 쪽 법인의 다른 쪽 법인에 대한 간접소유비율로 한다. 다만, 주주법인이 둘 이상인 경우에는 주주 법인별로 계산한 비율을 합계한 비율을 어느 한 쪽 법인의 다른 쪽 법인에 대한 간접소유비율로 한다. 3. 다른 쪽 법인의 중간법인과 어느 한 쪽 법인 사이에 하나 이상의 법인이 개재되어 있고 이들 법인이 주식소유관계를 통하여 연결되어 있는 경우에도 제1호와 제2호의 계산방법을 준용한다.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F2"/>
    <w:rsid w:val="008419F2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E67E"/>
  <w15:chartTrackingRefBased/>
  <w15:docId w15:val="{4D0874A0-AE24-4B8B-827D-3411B80D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2023-09-27T06:49:00Z</dcterms:created>
  <dcterms:modified xsi:type="dcterms:W3CDTF">2023-09-27T06:50:00Z</dcterms:modified>
</cp:coreProperties>
</file>