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50CC" w14:textId="46E6796E" w:rsidR="009317EE" w:rsidRDefault="00160754">
      <w:r>
        <w:t xml:space="preserve">A 출자법인 C 출자법인 B 출자법인 D 출자법인 국외 지배주주 내국법인 30% 50% 10% 40% 30% 20% </w:t>
      </w:r>
      <w:r>
        <w:rPr>
          <w:rFonts w:ascii="Cambria Math" w:hAnsi="Cambria Math" w:cs="Cambria Math"/>
        </w:rPr>
        <w:t>⦁</w:t>
      </w:r>
      <w:r>
        <w:t>납입자본금 비율：(50%×40%×30%)＋(30%×10%×20%)＝6.6%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54"/>
    <w:rsid w:val="00160754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3DB0"/>
  <w15:chartTrackingRefBased/>
  <w15:docId w15:val="{0064019D-8DD1-40A8-9966-5DF60B49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2023-09-06T04:21:00Z</dcterms:created>
  <dcterms:modified xsi:type="dcterms:W3CDTF">2023-09-06T04:22:00Z</dcterms:modified>
</cp:coreProperties>
</file>