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7EB6" w14:textId="7CF9A17C" w:rsidR="003C432E" w:rsidRPr="009F689B" w:rsidRDefault="00BA5173" w:rsidP="00BA5173">
      <w:pPr>
        <w:rPr>
          <w:rFonts w:ascii="Arial" w:hAnsi="Arial" w:cs="Arial"/>
        </w:rPr>
      </w:pPr>
      <w:r w:rsidRPr="009F689B">
        <w:rPr>
          <w:rFonts w:ascii="Arial" w:hAnsi="Arial" w:cs="Arial"/>
        </w:rPr>
        <w:t>Enforcement Rules of the International Tax Adjustment Act [attached Form 24 (c)]</w:t>
      </w:r>
      <w:r w:rsidR="009F689B">
        <w:rPr>
          <w:rFonts w:ascii="Arial" w:hAnsi="Arial" w:cs="Arial"/>
        </w:rPr>
        <w:t xml:space="preserve"> </w:t>
      </w:r>
      <w:r w:rsidRPr="009F689B">
        <w:rPr>
          <w:rFonts w:ascii="Arial" w:hAnsi="Arial" w:cs="Arial"/>
        </w:rPr>
        <w:t xml:space="preserve">(front) Business year . . . ~ . . . Adjustment statement for interest, etc. paid to foreign controlling shareholders (C) Corporate name 1. calculation of borrowings </w:t>
      </w:r>
      <w:r w:rsidRPr="009F689B">
        <w:rPr>
          <w:rFonts w:ascii="맑은 고딕" w:eastAsia="맑은 고딕" w:hAnsi="맑은 고딕" w:cs="맑은 고딕" w:hint="eastAsia"/>
        </w:rPr>
        <w:t>①</w:t>
      </w:r>
      <w:r w:rsidRPr="009F689B">
        <w:rPr>
          <w:rFonts w:ascii="Arial" w:hAnsi="Arial" w:cs="Arial"/>
          <w:lang w:eastAsia="ko-KR"/>
        </w:rPr>
        <w:t xml:space="preserve"> </w:t>
      </w:r>
      <w:r w:rsidRPr="009F689B">
        <w:rPr>
          <w:rFonts w:ascii="맑은 고딕" w:eastAsia="맑은 고딕" w:hAnsi="맑은 고딕" w:cs="맑은 고딕" w:hint="eastAsia"/>
        </w:rPr>
        <w:t>①</w:t>
      </w:r>
      <w:r w:rsidRPr="009F689B">
        <w:rPr>
          <w:rFonts w:ascii="Arial" w:hAnsi="Arial" w:cs="Arial"/>
        </w:rPr>
        <w:t xml:space="preserve"> Name of foreign controlling shareholder, etc. (corporate name) </w:t>
      </w:r>
      <w:r w:rsidRPr="009F689B">
        <w:rPr>
          <w:rFonts w:ascii="맑은 고딕" w:eastAsia="맑은 고딕" w:hAnsi="맑은 고딕" w:cs="맑은 고딕" w:hint="eastAsia"/>
        </w:rPr>
        <w:t>②</w:t>
      </w:r>
      <w:r w:rsidRPr="009F689B">
        <w:rPr>
          <w:rFonts w:ascii="Arial" w:hAnsi="Arial" w:cs="Arial"/>
        </w:rPr>
        <w:t xml:space="preserve"> Relationship </w:t>
      </w:r>
      <w:r w:rsidRPr="009F689B">
        <w:rPr>
          <w:rFonts w:ascii="맑은 고딕" w:eastAsia="맑은 고딕" w:hAnsi="맑은 고딕" w:cs="맑은 고딕" w:hint="eastAsia"/>
        </w:rPr>
        <w:t>③</w:t>
      </w:r>
      <w:r w:rsidRPr="009F689B">
        <w:rPr>
          <w:rFonts w:ascii="Arial" w:hAnsi="Arial" w:cs="Arial"/>
        </w:rPr>
        <w:t xml:space="preserve">an interest rate </w:t>
      </w:r>
      <w:r w:rsidRPr="009F689B">
        <w:rPr>
          <w:rFonts w:ascii="맑은 고딕" w:eastAsia="맑은 고딕" w:hAnsi="맑은 고딕" w:cs="맑은 고딕" w:hint="eastAsia"/>
        </w:rPr>
        <w:t>④</w:t>
      </w:r>
      <w:r w:rsidRPr="009F689B">
        <w:rPr>
          <w:rFonts w:ascii="Arial" w:hAnsi="Arial" w:cs="Arial"/>
        </w:rPr>
        <w:t xml:space="preserve">the date, month, year </w:t>
      </w:r>
      <w:r w:rsidRPr="009F689B">
        <w:rPr>
          <w:rFonts w:ascii="맑은 고딕" w:eastAsia="맑은 고딕" w:hAnsi="맑은 고딕" w:cs="맑은 고딕" w:hint="eastAsia"/>
        </w:rPr>
        <w:t>⑤</w:t>
      </w:r>
      <w:r w:rsidRPr="009F689B">
        <w:rPr>
          <w:rFonts w:ascii="Arial" w:hAnsi="Arial" w:cs="Arial"/>
        </w:rPr>
        <w:t xml:space="preserve"> Number of days </w:t>
      </w:r>
      <w:r w:rsidRPr="009F689B">
        <w:rPr>
          <w:rFonts w:ascii="맑은 고딕" w:eastAsia="맑은 고딕" w:hAnsi="맑은 고딕" w:cs="맑은 고딕" w:hint="eastAsia"/>
        </w:rPr>
        <w:t>⑥</w:t>
      </w:r>
      <w:r w:rsidRPr="009F689B">
        <w:rPr>
          <w:rFonts w:ascii="Arial" w:hAnsi="Arial" w:cs="Arial"/>
        </w:rPr>
        <w:t xml:space="preserve"> Amount </w:t>
      </w:r>
      <w:r w:rsidRPr="009F689B">
        <w:rPr>
          <w:rFonts w:ascii="맑은 고딕" w:eastAsia="맑은 고딕" w:hAnsi="맑은 고딕" w:cs="맑은 고딕" w:hint="eastAsia"/>
        </w:rPr>
        <w:t>⑦</w:t>
      </w:r>
      <w:r w:rsidRPr="009F689B">
        <w:rPr>
          <w:rFonts w:ascii="Arial" w:hAnsi="Arial" w:cs="Arial"/>
        </w:rPr>
        <w:t xml:space="preserve"> Day count (</w:t>
      </w:r>
      <w:r w:rsidRPr="009F689B">
        <w:rPr>
          <w:rFonts w:ascii="맑은 고딕" w:eastAsia="맑은 고딕" w:hAnsi="맑은 고딕" w:cs="맑은 고딕" w:hint="eastAsia"/>
        </w:rPr>
        <w:t>⑤</w:t>
      </w:r>
      <w:r w:rsidRPr="009F689B">
        <w:rPr>
          <w:rFonts w:ascii="Arial" w:hAnsi="Arial" w:cs="Arial"/>
        </w:rPr>
        <w:t xml:space="preserve"> × </w:t>
      </w:r>
      <w:r w:rsidRPr="009F689B">
        <w:rPr>
          <w:rFonts w:ascii="맑은 고딕" w:eastAsia="맑은 고딕" w:hAnsi="맑은 고딕" w:cs="맑은 고딕" w:hint="eastAsia"/>
        </w:rPr>
        <w:t>⑥</w:t>
      </w:r>
      <w:r w:rsidRPr="009F689B">
        <w:rPr>
          <w:rFonts w:ascii="Arial" w:hAnsi="Arial" w:cs="Arial"/>
        </w:rPr>
        <w:t xml:space="preserve">) Financial business Financial business Non-Financial business Non-Financial business Total Financial business Non-Financial business 2. Calculation of capital day count A. Calculation of equity capital day count </w:t>
      </w:r>
      <w:r w:rsidRPr="009F689B">
        <w:rPr>
          <w:rFonts w:ascii="맑은 고딕" w:eastAsia="맑은 고딕" w:hAnsi="맑은 고딕" w:cs="맑은 고딕" w:hint="eastAsia"/>
        </w:rPr>
        <w:t>⑧</w:t>
      </w:r>
      <w:r w:rsidRPr="009F689B">
        <w:rPr>
          <w:rFonts w:ascii="Arial" w:hAnsi="Arial" w:cs="Arial"/>
        </w:rPr>
        <w:t xml:space="preserve"> Total assets in the statement of financial position </w:t>
      </w:r>
      <w:r w:rsidRPr="009F689B">
        <w:rPr>
          <w:rFonts w:ascii="맑은 고딕" w:eastAsia="맑은 고딕" w:hAnsi="맑은 고딕" w:cs="맑은 고딕" w:hint="eastAsia"/>
        </w:rPr>
        <w:t>⑨</w:t>
      </w:r>
      <w:r w:rsidRPr="009F689B">
        <w:rPr>
          <w:rFonts w:ascii="Arial" w:hAnsi="Arial" w:cs="Arial"/>
        </w:rPr>
        <w:t xml:space="preserve"> Total liabilities in the statement of financial position </w:t>
      </w:r>
      <w:r w:rsidRPr="009F689B">
        <w:rPr>
          <w:rFonts w:ascii="맑은 고딕" w:eastAsia="맑은 고딕" w:hAnsi="맑은 고딕" w:cs="맑은 고딕" w:hint="eastAsia"/>
        </w:rPr>
        <w:t>⑩</w:t>
      </w:r>
      <w:r w:rsidRPr="009F689B">
        <w:rPr>
          <w:rFonts w:ascii="Arial" w:hAnsi="Arial" w:cs="Arial"/>
        </w:rPr>
        <w:t xml:space="preserve"> Equity Capital (</w:t>
      </w:r>
      <w:r w:rsidRPr="009F689B">
        <w:rPr>
          <w:rFonts w:ascii="맑은 고딕" w:eastAsia="맑은 고딕" w:hAnsi="맑은 고딕" w:cs="맑은 고딕" w:hint="eastAsia"/>
        </w:rPr>
        <w:t>⑧</w:t>
      </w:r>
      <w:r w:rsidRPr="009F689B">
        <w:rPr>
          <w:rFonts w:ascii="Arial" w:hAnsi="Arial" w:cs="Arial"/>
        </w:rPr>
        <w:t>－</w:t>
      </w:r>
      <w:r w:rsidRPr="009F689B">
        <w:rPr>
          <w:rFonts w:ascii="맑은 고딕" w:eastAsia="맑은 고딕" w:hAnsi="맑은 고딕" w:cs="맑은 고딕" w:hint="eastAsia"/>
        </w:rPr>
        <w:t>⑨</w:t>
      </w:r>
      <w:r w:rsidRPr="009F689B">
        <w:rPr>
          <w:rFonts w:ascii="Arial" w:hAnsi="Arial" w:cs="Arial"/>
        </w:rPr>
        <w:t xml:space="preserve">) </w:t>
      </w:r>
      <w:r w:rsidRPr="009F689B">
        <w:rPr>
          <w:rFonts w:ascii="맑은 고딕" w:eastAsia="맑은 고딕" w:hAnsi="맑은 고딕" w:cs="맑은 고딕" w:hint="eastAsia"/>
        </w:rPr>
        <w:t>⑪</w:t>
      </w:r>
      <w:r w:rsidRPr="009F689B">
        <w:rPr>
          <w:rFonts w:ascii="Arial" w:hAnsi="Arial" w:cs="Arial"/>
        </w:rPr>
        <w:t xml:space="preserve"> Number of business years </w:t>
      </w:r>
      <w:r w:rsidRPr="009F689B">
        <w:rPr>
          <w:rFonts w:ascii="맑은 고딕" w:eastAsia="맑은 고딕" w:hAnsi="맑은 고딕" w:cs="맑은 고딕" w:hint="eastAsia"/>
        </w:rPr>
        <w:t>⑫</w:t>
      </w:r>
      <w:r w:rsidRPr="009F689B">
        <w:rPr>
          <w:rFonts w:ascii="Arial" w:hAnsi="Arial" w:cs="Arial"/>
        </w:rPr>
        <w:t>Day count (</w:t>
      </w:r>
      <w:r w:rsidRPr="009F689B">
        <w:rPr>
          <w:rFonts w:ascii="맑은 고딕" w:eastAsia="맑은 고딕" w:hAnsi="맑은 고딕" w:cs="맑은 고딕" w:hint="eastAsia"/>
        </w:rPr>
        <w:t>⑩</w:t>
      </w:r>
      <w:r w:rsidRPr="009F689B">
        <w:rPr>
          <w:rFonts w:ascii="Arial" w:hAnsi="Arial" w:cs="Arial"/>
        </w:rPr>
        <w:t xml:space="preserve"> × </w:t>
      </w:r>
      <w:r w:rsidRPr="009F689B">
        <w:rPr>
          <w:rFonts w:ascii="맑은 고딕" w:eastAsia="맑은 고딕" w:hAnsi="맑은 고딕" w:cs="맑은 고딕" w:hint="eastAsia"/>
        </w:rPr>
        <w:t>⑪</w:t>
      </w:r>
      <w:r w:rsidRPr="009F689B">
        <w:rPr>
          <w:rFonts w:ascii="Arial" w:hAnsi="Arial" w:cs="Arial"/>
        </w:rPr>
        <w:t xml:space="preserve">) </w:t>
      </w:r>
      <w:r w:rsidRPr="009F689B">
        <w:rPr>
          <w:rFonts w:ascii="맑은 고딕" w:eastAsia="맑은 고딕" w:hAnsi="맑은 고딕" w:cs="맑은 고딕" w:hint="eastAsia"/>
        </w:rPr>
        <w:t>⑬</w:t>
      </w:r>
      <w:r w:rsidRPr="009F689B">
        <w:rPr>
          <w:rFonts w:ascii="Arial" w:hAnsi="Arial" w:cs="Arial"/>
        </w:rPr>
        <w:t xml:space="preserve"> Financial business status Total Financial business Non-Financial business B. Calculation of the total paid-in capital of a domestic corporation C. Calculation of the paid-in capital adequacy of foreign controlling shareholders </w:t>
      </w:r>
      <w:r w:rsidRPr="009F689B">
        <w:rPr>
          <w:rFonts w:ascii="맑은 고딕" w:eastAsia="맑은 고딕" w:hAnsi="맑은 고딕" w:cs="맑은 고딕" w:hint="eastAsia"/>
        </w:rPr>
        <w:t>⑭</w:t>
      </w:r>
      <w:r w:rsidRPr="009F689B">
        <w:rPr>
          <w:rFonts w:ascii="Arial" w:hAnsi="Arial" w:cs="Arial"/>
        </w:rPr>
        <w:t xml:space="preserve"> Total paid-in capital in statement of financial position </w:t>
      </w:r>
      <w:r w:rsidRPr="009F689B">
        <w:rPr>
          <w:rFonts w:ascii="맑은 고딕" w:eastAsia="맑은 고딕" w:hAnsi="맑은 고딕" w:cs="맑은 고딕" w:hint="eastAsia"/>
        </w:rPr>
        <w:t>⑮</w:t>
      </w:r>
      <w:r w:rsidRPr="009F689B">
        <w:rPr>
          <w:rFonts w:ascii="Arial" w:hAnsi="Arial" w:cs="Arial"/>
        </w:rPr>
        <w:t xml:space="preserve"> Number of business years </w:t>
      </w:r>
      <w:r w:rsidRPr="009F689B">
        <w:rPr>
          <w:rFonts w:ascii="Cambria Math" w:hAnsi="Cambria Math" w:cs="Cambria Math"/>
        </w:rPr>
        <w:t>⑯</w:t>
      </w:r>
      <w:r w:rsidRPr="009F689B">
        <w:rPr>
          <w:rFonts w:ascii="Arial" w:hAnsi="Arial" w:cs="Arial"/>
        </w:rPr>
        <w:t xml:space="preserve"> Day count (</w:t>
      </w:r>
      <w:r w:rsidRPr="009F689B">
        <w:rPr>
          <w:rFonts w:ascii="맑은 고딕" w:eastAsia="맑은 고딕" w:hAnsi="맑은 고딕" w:cs="맑은 고딕" w:hint="eastAsia"/>
        </w:rPr>
        <w:t>⑭</w:t>
      </w:r>
      <w:r w:rsidRPr="009F689B">
        <w:rPr>
          <w:rFonts w:ascii="Arial" w:hAnsi="Arial" w:cs="Arial"/>
        </w:rPr>
        <w:t xml:space="preserve"> × </w:t>
      </w:r>
      <w:r w:rsidRPr="009F689B">
        <w:rPr>
          <w:rFonts w:ascii="맑은 고딕" w:eastAsia="맑은 고딕" w:hAnsi="맑은 고딕" w:cs="맑은 고딕" w:hint="eastAsia"/>
        </w:rPr>
        <w:t>⑮</w:t>
      </w:r>
      <w:r w:rsidRPr="009F689B">
        <w:rPr>
          <w:rFonts w:ascii="Arial" w:hAnsi="Arial" w:cs="Arial"/>
        </w:rPr>
        <w:t>)</w:t>
      </w:r>
      <w:r w:rsidRPr="009F689B">
        <w:rPr>
          <w:rFonts w:ascii="Arial" w:hAnsi="Arial" w:cs="Arial"/>
        </w:rPr>
        <w:tab/>
      </w:r>
      <w:r w:rsidRPr="009F689B">
        <w:rPr>
          <w:rFonts w:ascii="Cambria Math" w:hAnsi="Cambria Math" w:cs="Cambria Math"/>
        </w:rPr>
        <w:t>⑰</w:t>
      </w:r>
      <w:r w:rsidRPr="009F689B">
        <w:rPr>
          <w:rFonts w:ascii="Arial" w:hAnsi="Arial" w:cs="Arial"/>
        </w:rPr>
        <w:t xml:space="preserve"> Financial business status </w:t>
      </w:r>
      <w:r w:rsidRPr="009F689B">
        <w:rPr>
          <w:rFonts w:ascii="Cambria Math" w:hAnsi="Cambria Math" w:cs="Cambria Math"/>
        </w:rPr>
        <w:t>⑱</w:t>
      </w:r>
      <w:r w:rsidRPr="009F689B">
        <w:rPr>
          <w:rFonts w:ascii="Arial" w:hAnsi="Arial" w:cs="Arial"/>
        </w:rPr>
        <w:t xml:space="preserve"> Capital paid by foreign controlling shareholders in the statement of financial position </w:t>
      </w:r>
      <w:r w:rsidRPr="009F689B">
        <w:rPr>
          <w:rFonts w:ascii="Cambria Math" w:hAnsi="Cambria Math" w:cs="Cambria Math"/>
        </w:rPr>
        <w:t>⑲</w:t>
      </w:r>
      <w:r w:rsidRPr="009F689B">
        <w:rPr>
          <w:rFonts w:ascii="Arial" w:hAnsi="Arial" w:cs="Arial"/>
        </w:rPr>
        <w:t xml:space="preserve"> Number of business years </w:t>
      </w:r>
      <w:r w:rsidRPr="009F689B">
        <w:rPr>
          <w:rFonts w:ascii="Cambria Math" w:hAnsi="Cambria Math" w:cs="Cambria Math"/>
        </w:rPr>
        <w:t>⑳</w:t>
      </w:r>
      <w:r w:rsidRPr="009F689B">
        <w:rPr>
          <w:rFonts w:ascii="Arial" w:hAnsi="Arial" w:cs="Arial"/>
        </w:rPr>
        <w:t xml:space="preserve"> Day count (</w:t>
      </w:r>
      <w:r w:rsidRPr="009F689B">
        <w:rPr>
          <w:rFonts w:ascii="Cambria Math" w:hAnsi="Cambria Math" w:cs="Cambria Math"/>
        </w:rPr>
        <w:t>⑱</w:t>
      </w:r>
      <w:r w:rsidRPr="009F689B">
        <w:rPr>
          <w:rFonts w:ascii="Arial" w:hAnsi="Arial" w:cs="Arial"/>
        </w:rPr>
        <w:t xml:space="preserve"> × </w:t>
      </w:r>
      <w:r w:rsidRPr="009F689B">
        <w:rPr>
          <w:rFonts w:ascii="Cambria Math" w:hAnsi="Cambria Math" w:cs="Cambria Math"/>
        </w:rPr>
        <w:t>⑲</w:t>
      </w:r>
      <w:r w:rsidRPr="009F689B">
        <w:rPr>
          <w:rFonts w:ascii="Arial" w:hAnsi="Arial" w:cs="Arial"/>
        </w:rPr>
        <w:t>)</w:t>
      </w:r>
      <w:r w:rsidRPr="009F689B">
        <w:rPr>
          <w:rFonts w:ascii="Arial" w:hAnsi="Arial" w:cs="Arial"/>
        </w:rPr>
        <w:tab/>
      </w:r>
      <w:r w:rsidRPr="009F689B">
        <w:rPr>
          <w:rFonts w:ascii="Arial" w:hAnsi="Arial" w:cs="Arial"/>
        </w:rPr>
        <w:t>㉑</w:t>
      </w:r>
      <w:r w:rsidRPr="009F689B">
        <w:rPr>
          <w:rFonts w:ascii="Arial" w:hAnsi="Arial" w:cs="Arial"/>
        </w:rPr>
        <w:t xml:space="preserve"> Financial business status Total Financial business</w:t>
      </w:r>
      <w:r w:rsidRPr="009F689B">
        <w:rPr>
          <w:rFonts w:ascii="Arial" w:hAnsi="Arial" w:cs="Arial"/>
        </w:rPr>
        <w:tab/>
        <w:t xml:space="preserve"> Total Financial business Non-Financial business Non-Financial business 210mm×297mm[white paper 80g/</w:t>
      </w:r>
      <w:r w:rsidRPr="009F689B">
        <w:rPr>
          <w:rFonts w:ascii="Arial" w:hAnsi="Arial" w:cs="Arial"/>
        </w:rPr>
        <w:t>㎡</w:t>
      </w:r>
      <w:r w:rsidRPr="009F689B">
        <w:rPr>
          <w:rFonts w:ascii="Arial" w:hAnsi="Arial" w:cs="Arial"/>
        </w:rPr>
        <w:t xml:space="preserve"> or coated paper 80g/</w:t>
      </w:r>
      <w:r w:rsidRPr="009F689B">
        <w:rPr>
          <w:rFonts w:ascii="Arial" w:hAnsi="Arial" w:cs="Arial"/>
        </w:rPr>
        <w:t>㎡</w:t>
      </w:r>
      <w:r w:rsidRPr="009F689B">
        <w:rPr>
          <w:rFonts w:ascii="Arial" w:hAnsi="Arial" w:cs="Arial"/>
        </w:rPr>
        <w:t>]</w:t>
      </w:r>
    </w:p>
    <w:sectPr w:rsidR="003C432E" w:rsidRPr="009F6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533D" w14:textId="77777777" w:rsidR="0081492A" w:rsidRDefault="0081492A" w:rsidP="009F689B">
      <w:r>
        <w:separator/>
      </w:r>
    </w:p>
  </w:endnote>
  <w:endnote w:type="continuationSeparator" w:id="0">
    <w:p w14:paraId="240448F0" w14:textId="77777777" w:rsidR="0081492A" w:rsidRDefault="0081492A" w:rsidP="009F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56F7" w14:textId="77777777" w:rsidR="0081492A" w:rsidRDefault="0081492A" w:rsidP="009F689B">
      <w:r>
        <w:separator/>
      </w:r>
    </w:p>
  </w:footnote>
  <w:footnote w:type="continuationSeparator" w:id="0">
    <w:p w14:paraId="7C622A85" w14:textId="77777777" w:rsidR="0081492A" w:rsidRDefault="0081492A" w:rsidP="009F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5E0659A"/>
    <w:multiLevelType w:val="hybridMultilevel"/>
    <w:tmpl w:val="E03039EE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5730FB"/>
    <w:multiLevelType w:val="hybridMultilevel"/>
    <w:tmpl w:val="8C949F92"/>
    <w:lvl w:ilvl="0" w:tplc="0534F79A">
      <w:start w:val="1"/>
      <w:numFmt w:val="decimalEnclosedCircle"/>
      <w:lvlText w:val="%1"/>
      <w:lvlJc w:val="left"/>
      <w:pPr>
        <w:ind w:left="386" w:hanging="360"/>
      </w:pPr>
      <w:rPr>
        <w:rFonts w:hint="eastAsia"/>
        <w:w w:val="80"/>
      </w:rPr>
    </w:lvl>
    <w:lvl w:ilvl="1" w:tplc="04090019" w:tentative="1">
      <w:start w:val="1"/>
      <w:numFmt w:val="upperLetter"/>
      <w:lvlText w:val="%2."/>
      <w:lvlJc w:val="left"/>
      <w:pPr>
        <w:ind w:left="906" w:hanging="440"/>
      </w:pPr>
    </w:lvl>
    <w:lvl w:ilvl="2" w:tplc="0409001B" w:tentative="1">
      <w:start w:val="1"/>
      <w:numFmt w:val="lowerRoman"/>
      <w:lvlText w:val="%3."/>
      <w:lvlJc w:val="right"/>
      <w:pPr>
        <w:ind w:left="1346" w:hanging="440"/>
      </w:pPr>
    </w:lvl>
    <w:lvl w:ilvl="3" w:tplc="0409000F" w:tentative="1">
      <w:start w:val="1"/>
      <w:numFmt w:val="decimal"/>
      <w:lvlText w:val="%4."/>
      <w:lvlJc w:val="left"/>
      <w:pPr>
        <w:ind w:left="1786" w:hanging="440"/>
      </w:pPr>
    </w:lvl>
    <w:lvl w:ilvl="4" w:tplc="04090019" w:tentative="1">
      <w:start w:val="1"/>
      <w:numFmt w:val="upperLetter"/>
      <w:lvlText w:val="%5."/>
      <w:lvlJc w:val="left"/>
      <w:pPr>
        <w:ind w:left="2226" w:hanging="440"/>
      </w:pPr>
    </w:lvl>
    <w:lvl w:ilvl="5" w:tplc="0409001B" w:tentative="1">
      <w:start w:val="1"/>
      <w:numFmt w:val="lowerRoman"/>
      <w:lvlText w:val="%6."/>
      <w:lvlJc w:val="right"/>
      <w:pPr>
        <w:ind w:left="2666" w:hanging="440"/>
      </w:pPr>
    </w:lvl>
    <w:lvl w:ilvl="6" w:tplc="0409000F" w:tentative="1">
      <w:start w:val="1"/>
      <w:numFmt w:val="decimal"/>
      <w:lvlText w:val="%7."/>
      <w:lvlJc w:val="left"/>
      <w:pPr>
        <w:ind w:left="3106" w:hanging="440"/>
      </w:pPr>
    </w:lvl>
    <w:lvl w:ilvl="7" w:tplc="04090019" w:tentative="1">
      <w:start w:val="1"/>
      <w:numFmt w:val="upperLetter"/>
      <w:lvlText w:val="%8."/>
      <w:lvlJc w:val="left"/>
      <w:pPr>
        <w:ind w:left="3546" w:hanging="440"/>
      </w:pPr>
    </w:lvl>
    <w:lvl w:ilvl="8" w:tplc="0409001B" w:tentative="1">
      <w:start w:val="1"/>
      <w:numFmt w:val="lowerRoman"/>
      <w:lvlText w:val="%9."/>
      <w:lvlJc w:val="right"/>
      <w:pPr>
        <w:ind w:left="3986" w:hanging="440"/>
      </w:pPr>
    </w:lvl>
  </w:abstractNum>
  <w:abstractNum w:abstractNumId="5" w15:restartNumberingAfterBreak="0">
    <w:nsid w:val="3FE5646E"/>
    <w:multiLevelType w:val="hybridMultilevel"/>
    <w:tmpl w:val="3E18791C"/>
    <w:lvl w:ilvl="0" w:tplc="CB925372">
      <w:start w:val="1"/>
      <w:numFmt w:val="decimal"/>
      <w:lvlText w:val="%1."/>
      <w:lvlJc w:val="left"/>
      <w:pPr>
        <w:ind w:left="1716" w:hanging="225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4"/>
        <w:w w:val="72"/>
        <w:sz w:val="19"/>
        <w:szCs w:val="19"/>
        <w:lang w:val="vi" w:eastAsia="en-US" w:bidi="ar-SA"/>
      </w:rPr>
    </w:lvl>
    <w:lvl w:ilvl="1" w:tplc="9E06C6F4">
      <w:start w:val="1"/>
      <w:numFmt w:val="decimal"/>
      <w:lvlText w:val="%2."/>
      <w:lvlJc w:val="left"/>
      <w:pPr>
        <w:ind w:left="1798" w:hanging="206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72"/>
        <w:sz w:val="19"/>
        <w:szCs w:val="19"/>
        <w:lang w:val="vi" w:eastAsia="en-US" w:bidi="ar-SA"/>
      </w:rPr>
    </w:lvl>
    <w:lvl w:ilvl="2" w:tplc="0B0E6E96">
      <w:numFmt w:val="bullet"/>
      <w:lvlText w:val="•"/>
      <w:lvlJc w:val="left"/>
      <w:pPr>
        <w:ind w:left="2784" w:hanging="206"/>
      </w:pPr>
      <w:rPr>
        <w:rFonts w:hint="default"/>
        <w:lang w:val="vi" w:eastAsia="en-US" w:bidi="ar-SA"/>
      </w:rPr>
    </w:lvl>
    <w:lvl w:ilvl="3" w:tplc="F072DB52">
      <w:numFmt w:val="bullet"/>
      <w:lvlText w:val="•"/>
      <w:lvlJc w:val="left"/>
      <w:pPr>
        <w:ind w:left="3768" w:hanging="206"/>
      </w:pPr>
      <w:rPr>
        <w:rFonts w:hint="default"/>
        <w:lang w:val="vi" w:eastAsia="en-US" w:bidi="ar-SA"/>
      </w:rPr>
    </w:lvl>
    <w:lvl w:ilvl="4" w:tplc="6EB23E98">
      <w:numFmt w:val="bullet"/>
      <w:lvlText w:val="•"/>
      <w:lvlJc w:val="left"/>
      <w:pPr>
        <w:ind w:left="4753" w:hanging="206"/>
      </w:pPr>
      <w:rPr>
        <w:rFonts w:hint="default"/>
        <w:lang w:val="vi" w:eastAsia="en-US" w:bidi="ar-SA"/>
      </w:rPr>
    </w:lvl>
    <w:lvl w:ilvl="5" w:tplc="B8648108">
      <w:numFmt w:val="bullet"/>
      <w:lvlText w:val="•"/>
      <w:lvlJc w:val="left"/>
      <w:pPr>
        <w:ind w:left="5737" w:hanging="206"/>
      </w:pPr>
      <w:rPr>
        <w:rFonts w:hint="default"/>
        <w:lang w:val="vi" w:eastAsia="en-US" w:bidi="ar-SA"/>
      </w:rPr>
    </w:lvl>
    <w:lvl w:ilvl="6" w:tplc="769EF600">
      <w:numFmt w:val="bullet"/>
      <w:lvlText w:val="•"/>
      <w:lvlJc w:val="left"/>
      <w:pPr>
        <w:ind w:left="6722" w:hanging="206"/>
      </w:pPr>
      <w:rPr>
        <w:rFonts w:hint="default"/>
        <w:lang w:val="vi" w:eastAsia="en-US" w:bidi="ar-SA"/>
      </w:rPr>
    </w:lvl>
    <w:lvl w:ilvl="7" w:tplc="00924F78">
      <w:numFmt w:val="bullet"/>
      <w:lvlText w:val="•"/>
      <w:lvlJc w:val="left"/>
      <w:pPr>
        <w:ind w:left="7706" w:hanging="206"/>
      </w:pPr>
      <w:rPr>
        <w:rFonts w:hint="default"/>
        <w:lang w:val="vi" w:eastAsia="en-US" w:bidi="ar-SA"/>
      </w:rPr>
    </w:lvl>
    <w:lvl w:ilvl="8" w:tplc="0B307F24">
      <w:numFmt w:val="bullet"/>
      <w:lvlText w:val="•"/>
      <w:lvlJc w:val="left"/>
      <w:pPr>
        <w:ind w:left="8690" w:hanging="206"/>
      </w:pPr>
      <w:rPr>
        <w:rFonts w:hint="default"/>
        <w:lang w:val="vi" w:eastAsia="en-US" w:bidi="ar-SA"/>
      </w:rPr>
    </w:lvl>
  </w:abstractNum>
  <w:abstractNum w:abstractNumId="6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018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227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1423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1412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1432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233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035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3837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4639" w:hanging="209"/>
      </w:pPr>
      <w:rPr>
        <w:rFonts w:hint="default"/>
        <w:lang w:val="vi" w:eastAsia="en-US" w:bidi="ar-SA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3"/>
  </w:num>
  <w:num w:numId="7" w16cid:durableId="706763370">
    <w:abstractNumId w:val="5"/>
  </w:num>
  <w:num w:numId="8" w16cid:durableId="2041736283">
    <w:abstractNumId w:val="6"/>
  </w:num>
  <w:num w:numId="9" w16cid:durableId="1458640270">
    <w:abstractNumId w:val="2"/>
  </w:num>
  <w:num w:numId="10" w16cid:durableId="2074231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14"/>
    <w:rsid w:val="00015673"/>
    <w:rsid w:val="003C432E"/>
    <w:rsid w:val="004330F9"/>
    <w:rsid w:val="00512FF6"/>
    <w:rsid w:val="0081492A"/>
    <w:rsid w:val="00912331"/>
    <w:rsid w:val="009E5637"/>
    <w:rsid w:val="009F2B14"/>
    <w:rsid w:val="009F689B"/>
    <w:rsid w:val="00B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341A0"/>
  <w15:chartTrackingRefBased/>
  <w15:docId w15:val="{8645F951-7A81-4504-A7E0-E85E5509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B1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9F2B1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9F2B14"/>
  </w:style>
  <w:style w:type="character" w:customStyle="1" w:styleId="Char">
    <w:name w:val="본문 Char"/>
    <w:basedOn w:val="a1"/>
    <w:link w:val="a4"/>
    <w:uiPriority w:val="1"/>
    <w:rsid w:val="009F2B1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9F2B14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9F2B14"/>
  </w:style>
  <w:style w:type="paragraph" w:styleId="a6">
    <w:name w:val="header"/>
    <w:basedOn w:val="a0"/>
    <w:link w:val="Char0"/>
    <w:uiPriority w:val="99"/>
    <w:unhideWhenUsed/>
    <w:rsid w:val="009F6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9F689B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footer"/>
    <w:basedOn w:val="a0"/>
    <w:link w:val="Char1"/>
    <w:uiPriority w:val="99"/>
    <w:unhideWhenUsed/>
    <w:rsid w:val="009F68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9F689B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2</cp:revision>
  <dcterms:created xsi:type="dcterms:W3CDTF">2023-10-14T02:13:00Z</dcterms:created>
  <dcterms:modified xsi:type="dcterms:W3CDTF">2023-10-14T04:07:00Z</dcterms:modified>
</cp:coreProperties>
</file>