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800" w:hanging="360"/>
        <w:rPr/>
      </w:pPr>
      <w:r w:rsidDel="00000000" w:rsidR="00000000" w:rsidRPr="00000000">
        <w:rPr>
          <w:rtl w:val="0"/>
        </w:rPr>
        <w:t xml:space="preserve">&lt;bof&gt;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[%1](#1 법인세신고 관련 자료의 작성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제출)(#2 법인세신고 관련 자료의 작성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제출)(#3 Preparation and submission of corporate tax declaration-related documents)[n]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2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[%2](#1 전자기록의 보전방법 등에 관한 고시 개정 안내)(#2 컴퓨터기록의 보존방법 등에 관한 고시 개정 안내)(#3 Guidelines for amendments on the Public Notice on Computer Records Preservation)[n]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[1] (#1 전자기록의 보전방법 등에 관한 고시)(#2 컴퓨터기록의 보존방법 등에 관한 고시)(#3 The Public Notice on Computer Records Preservation)[n]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{1}(#1 종전의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｢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전자기록의 보전방법 등에 관한 고시(국세청고시 제2017-33호)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｣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 2020년 4월 30일자로 폐지되고 2020년 5월 1일부터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｢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전자기록의 보전방법 등에 관한 고시(국세청고시 제2020-13호)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｣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 시행되었습니다. 이 고시 시행일이 속하는 과세기간 분부터 적용합니다.)(#2 2020년 5월 1일부터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｢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전자기록의 보전방법 등에 관한 고시가 시행되었습니다. 2020년 분부터 적용합니다.)(#3 Starting from May 1, 2020, the "Public Notice on Computer Records Preservation" have been enforced. It applies from the year 2020 onwards.){r2&lt;n&gt;,r3&lt;n&gt;}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[2](#1 개정 사유)(#2 개정사유)(#3 Reasons for amendment)[n]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{1}(#1 용어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조문 정비 및 재검토기한 재설정)(#2 용어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조문 정비 및 재검토기한 재설정)(#3 Terminology and clause refinement and resetting of reevaluation periods){r1&lt;n&gt;,r4&lt;n&gt;,r7&lt;n&gt;}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[3](#1 주요 개정 사항)(#2 주요 개정 사항)(#3 Major amendments)[n]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[4](#1 전자기록 보존 장소의 개념을 명확히 하여 이해하기 쉽도록 조문 정비(§8))(#2 컴퓨터 기록 보존 장소의 개념을 명확히 하여 이해하기 쉽도록 조문을 정비하였습니다)(#3 The definition of the location for preserving computer records has been clarified for easy understanding through provision revisions)[T,r1&lt;n&gt;,r2&lt;n&gt;]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640" w:right="0" w:hanging="440"/>
        <w:jc w:val="both"/>
        <w:rPr/>
      </w:pPr>
      <w:r w:rsidDel="00000000" w:rsidR="00000000" w:rsidRPr="00000000">
        <w:rPr>
          <w:rtl w:val="0"/>
        </w:rPr>
        <w:t xml:space="preserve">{1}(#1 =개정 전:국내의 안전한 장소)(#2 =개정 전:국내의 안전한 장소)(#3 =Before the amendment: a secure location within the country){n}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640" w:right="0" w:hanging="440"/>
        <w:jc w:val="both"/>
        <w:rPr/>
      </w:pPr>
      <w:r w:rsidDel="00000000" w:rsidR="00000000" w:rsidRPr="00000000">
        <w:rPr>
          <w:rtl w:val="0"/>
        </w:rPr>
        <w:t xml:space="preserve">{2}(#1 =개정 후: 분실･도난 및 훼손 등의 사고에 대비할 수 있도록 잠금장치가 있는 국내의 보관장소용(§14))(#2 =개정 후: 분실･도난 및 훼손 등의 사고에 대비할 수 있도록 잠금장치가 있는 국내의 보관장소용)(#3 =After the amendment: a domestic storage location with locking devices to prepare for accidents such as loss, theft, and damage){n}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[7](#1 제재규정 조문 변경 반영)(#2 제재규정 조문 변경 반영)(#3 Reflecting changes in sanction provisions)[n]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64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{1}(#1 본 고시에 제재규정으로 적용하던 종전 조세범처벌법 제17조제5호 (명령사항 위반 등에 대한 과태료 부과) 규정이 국세기본법 제88조 (직무집행 거부 등에 대한 과태료) 규정으로 변경되어 이를 반영)(#2 제재규정으로 적용하던 종전 규정이 국세기본법 제88조 (직무집행 거부 등에 대한 과태료) 규정으로 변경되어 이를 반영하였습니다.)(#3 The previous provisions applied as sanction provisions were changed to comply with the Framework Act On National Taxes Article 88 (Administrative Fines for Refusal to Perform Duties).){r1&lt;n&gt;,r2&lt;n&gt;}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tl w:val="0"/>
        </w:rPr>
        <w:t xml:space="preserve">[8](#1 $(전자기록의 보전방법 등에 관한 고시_1))(#2 $(전자기록의 보전방법 등에 관한 고시_1))(#3 $(Public Notice on Computer Records Preservation - Part 1))[n]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91058" cy="4811797"/>
            <wp:effectExtent b="0" l="0" r="0" t="0"/>
            <wp:docPr descr="텍스트, 스크린샷, 폰트, 번호이(가) 표시된 사진&#10;&#10;자동 생성된 설명" id="826809291" name="image3.png"/>
            <a:graphic>
              <a:graphicData uri="http://schemas.openxmlformats.org/drawingml/2006/picture">
                <pic:pic>
                  <pic:nvPicPr>
                    <pic:cNvPr descr="텍스트, 스크린샷, 폰트, 번호이(가) 표시된 사진&#10;&#10;자동 생성된 설명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058" cy="481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{n}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tl w:val="0"/>
        </w:rPr>
        <w:t xml:space="preserve">[9](#1 $(전자기록의 보전방법 등에 관한 고시_2))(#2 $(전자기록의 보전방법 등에 관한 고시_2))(#3 $(Public Notice on Computer Records Preservation - Part 2))[n]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77422" cy="5162011"/>
            <wp:effectExtent b="0" l="0" r="0" t="0"/>
            <wp:docPr descr="텍스트, 스크린샷, 폰트, 번호이(가) 표시된 사진&#10;&#10;자동 생성된 설명" id="826809293" name="image1.png"/>
            <a:graphic>
              <a:graphicData uri="http://schemas.openxmlformats.org/drawingml/2006/picture">
                <pic:pic>
                  <pic:nvPicPr>
                    <pic:cNvPr descr="텍스트, 스크린샷, 폰트, 번호이(가) 표시된 사진&#10;&#10;자동 생성된 설명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422" cy="5162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{n}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tl w:val="0"/>
        </w:rPr>
        <w:t xml:space="preserve">[10](#1 $(전자기록의 보전방법 등에 관한 고시_3))(#2 $(전자기록의 보전방법 등에 관한 고시_3))(#3 $(Public Notice on Computer Records Preservation - Part 3))[n]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764229" cy="5285200"/>
            <wp:effectExtent b="0" l="0" r="0" t="0"/>
            <wp:docPr descr="텍스트, 스크린샷, 폰트, 번호이(가) 표시된 사진&#10;&#10;자동 생성된 설명" id="826809292" name="image2.png"/>
            <a:graphic>
              <a:graphicData uri="http://schemas.openxmlformats.org/drawingml/2006/picture">
                <pic:pic>
                  <pic:nvPicPr>
                    <pic:cNvPr descr="텍스트, 스크린샷, 폰트, 번호이(가) 표시된 사진&#10;&#10;자동 생성된 설명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229" cy="528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{n}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tl w:val="0"/>
        </w:rPr>
        <w:t xml:space="preserve">[11](#1 $(전자기록의 보전방법 등에 관한 고시_4))(#2 $(전자기록의 보전방법 등에 관한 고시_4))(#3 $(Public Notice on Computer Records Preservation - Part 4))[n]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30398" cy="5791702"/>
            <wp:effectExtent b="0" l="0" r="0" t="0"/>
            <wp:docPr descr="텍스트, 폰트, 스크린샷, 번호이(가) 표시된 사진&#10;&#10;자동 생성된 설명" id="826809295" name="image5.png"/>
            <a:graphic>
              <a:graphicData uri="http://schemas.openxmlformats.org/drawingml/2006/picture">
                <pic:pic>
                  <pic:nvPicPr>
                    <pic:cNvPr descr="텍스트, 폰트, 스크린샷, 번호이(가) 표시된 사진&#10;&#10;자동 생성된 설명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791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{n}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tl w:val="0"/>
        </w:rPr>
        <w:t xml:space="preserve">[12](#1 $(전자기록의 보전방법 등에 관한 고시_5))(#2 $(전자기록의 보전방법 등에 관한 고시_5))(#3 $(Public Notice on Computer Records Preservation - Part 5))[n]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214225" cy="2286198"/>
            <wp:effectExtent b="0" l="0" r="0" t="0"/>
            <wp:docPr descr="텍스트, 스크린샷, 폰트, 번호이(가) 표시된 사진&#10;&#10;자동 생성된 설명" id="826809294" name="image4.png"/>
            <a:graphic>
              <a:graphicData uri="http://schemas.openxmlformats.org/drawingml/2006/picture">
                <pic:pic>
                  <pic:nvPicPr>
                    <pic:cNvPr descr="텍스트, 스크린샷, 폰트, 번호이(가) 표시된 사진&#10;&#10;자동 생성된 설명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286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{n}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&lt;boe&gt;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61B2A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7F115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7F1159"/>
  </w:style>
  <w:style w:type="paragraph" w:styleId="a5">
    <w:name w:val="footer"/>
    <w:basedOn w:val="a"/>
    <w:link w:val="Char0"/>
    <w:uiPriority w:val="99"/>
    <w:unhideWhenUsed w:val="1"/>
    <w:rsid w:val="007F115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7F115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EhZr7zVV0AAwfp7iicZdhG5gQ==">CgMxLjA4AHIhMTBZRFVLZG9HRDdwRDB6eGFGWk1DaE5ZeVl0TlZKNGsw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2023-09-01T08:14:00Z</dcterms:created>
  <dc:creator>Noh Eunsun</dc:creator>
</cp:coreProperties>
</file>