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272A" w14:textId="6D6941D1" w:rsidR="009317EE" w:rsidRDefault="008125A4">
      <w:r>
        <w:t xml:space="preserve">제9조【전자기록의 복구】① 납세자는 전자기록 중 일부라도 </w:t>
      </w:r>
      <w:proofErr w:type="spellStart"/>
      <w:r>
        <w:t>분실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파괴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손상되어</w:t>
      </w:r>
      <w:proofErr w:type="spellEnd"/>
      <w:r>
        <w:t xml:space="preserve"> 제4조제2항 각 호의 요건을 충족하지 못하게 되는 경우에는 지체 없이 해당 파일을 복구하거나 </w:t>
      </w:r>
      <w:proofErr w:type="spellStart"/>
      <w:r>
        <w:t>재작성하고</w:t>
      </w:r>
      <w:proofErr w:type="spellEnd"/>
      <w:r>
        <w:t xml:space="preserve"> 그 사유가 발생한 때와 업무담당자, 사유 등을 별도로 관리하여야 한다. ② 제1항의 규정에 따라 해당 파일을 복구하거나 </w:t>
      </w:r>
      <w:proofErr w:type="spellStart"/>
      <w:r>
        <w:t>재작성할</w:t>
      </w:r>
      <w:proofErr w:type="spellEnd"/>
      <w:r>
        <w:t xml:space="preserve"> 수 없는 경우 과세표준 신고와 관련된 장부 및 증거 등의 입증에 관한 책임은 납세자에게 있다. 제3장 보 칙 제10조【전자기록 등의 제출 의무】 ① 세무공무원이 각 세법이 규정하는 바에 따라 세무조사 등 그 직무상의 목적으로 납세자가 보존하는 전자기록 및 제5조제1항 각 호의 문서를 제출하도록 요구하는 경우에는 납세자는 지체 없이 제출하여야 한다. ② 제1항의 규정에 의하여 세무공무원이 납세자가 보존하는 전자기록을 텍스트파일 또는 DBF파일로 변환하여 제출하도록 요구하는 경우 납세자는 원본을 변환하여 지체 없이 제출하여야 한다. ③ 납세자의 전자기록을 대신하여 보관하는 자는 세무공무원이 세무조사와 관련하여 조사대상자의 전자기록을 요구하는 경우 지체 없이 제출하여야 한다. 제11조【적합성 검증】 ① 세무공무원은 납세자가 보존하는 전자기록이 제4조제2항 각 호의 규정에 적합한지 검증하기 위하여 세무조사 시 또는 기타 필요한 경우에 점검을 실시할 수 있다. 이 경우 전자기록의 </w:t>
      </w:r>
      <w:proofErr w:type="spellStart"/>
      <w:r>
        <w:t>생성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보존과</w:t>
      </w:r>
      <w:proofErr w:type="spellEnd"/>
      <w:r>
        <w:t xml:space="preserve"> 관련된 입출력 절차, 자료갱신 절차, 통제사항 및 보안절차 등을 포함한다. ② 세무공무원이 제1항의 규정에 의한 적합성 검증을 위하여 전자기록 및 소프트웨어 등을 요구하는 경우 납세자 또는 외부개발 소프트웨어를 개발한 자는 지체 없이 이를 제출하여야 한다. ③ 세무공무원으로부터 제1항의 규정에 의한 적합성 검증 결과 “시정요구”의견을 </w:t>
      </w:r>
      <w:proofErr w:type="spellStart"/>
      <w:r>
        <w:t>통보받은</w:t>
      </w:r>
      <w:proofErr w:type="spellEnd"/>
      <w:r>
        <w:t xml:space="preserve"> 경우에는 즉시 시정하여 다시 검증을 받아야 한다. 제12조【전산조직 운용명세서 제출】 전산조직을 이용하여 장부와 증거서류를 작성한 납세자는 소득세 또는 법인세 과세표준 신고서의 첨부서류로 별지서식에 의한 전산조직 운용명세서를 제출하여야 한다. 제13조【재검토 기한】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훈령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예규</w:t>
      </w:r>
      <w:proofErr w:type="spellEnd"/>
      <w:r>
        <w:t xml:space="preserve"> 등의 발령 및 관리에 관한 규정</w:t>
      </w:r>
      <w:r>
        <w:rPr>
          <w:rFonts w:ascii="MS Mincho" w:eastAsia="MS Mincho" w:hAnsi="MS Mincho" w:cs="MS Mincho" w:hint="eastAsia"/>
        </w:rPr>
        <w:t>｣</w:t>
      </w:r>
      <w:r>
        <w:t>(대통령 훈령 제248호)에 따라 이 고시 발령 후의 법령이나 현실여건의 변화 등을 검토하여 이 고시의 폐지, 개정 등의 조치를 하여야 하는 기한은 2023년 4월 30일까지로 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A4"/>
    <w:rsid w:val="008125A4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5617"/>
  <w15:chartTrackingRefBased/>
  <w15:docId w15:val="{ECE4B873-2C8F-4C27-ABC9-400D414E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2023-09-13T03:31:00Z</dcterms:created>
  <dcterms:modified xsi:type="dcterms:W3CDTF">2023-09-13T03:31:00Z</dcterms:modified>
</cp:coreProperties>
</file>