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9321" w14:textId="3EF79CE5" w:rsidR="009317EE" w:rsidRDefault="007452D6">
      <w:r>
        <w:t xml:space="preserve">제14조【제재 규정】 ① 이 고시에 정한 전자기록 등의 제출요구에 정당한 사유 없이 응하지 아니하는 경우에는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국세기본법</w:t>
      </w:r>
      <w:r>
        <w:rPr>
          <w:rFonts w:ascii="MS Mincho" w:eastAsia="MS Mincho" w:hAnsi="MS Mincho" w:cs="MS Mincho" w:hint="eastAsia"/>
        </w:rPr>
        <w:t>｣</w:t>
      </w:r>
      <w:r>
        <w:t xml:space="preserve"> 제88조의 규정을 적용한다. ② 이 고시에 정한 전자기록 등을 조세 포탈을 위한 증거 인멸의 목적으로 소각하거나 파기 또는 은닉한 경우에는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조세범처벌법</w:t>
      </w:r>
      <w:r>
        <w:rPr>
          <w:rFonts w:ascii="MS Mincho" w:eastAsia="MS Mincho" w:hAnsi="MS Mincho" w:cs="MS Mincho" w:hint="eastAsia"/>
        </w:rPr>
        <w:t>｣</w:t>
      </w:r>
      <w:r>
        <w:t xml:space="preserve"> 제8조의 규정을 적용한다. 부칙(2020. 4. 27. 국세청 고시 제2020-13호) 제1조【시행일】이 고시는 2020년 5월 1일부터 시행한다. 제2조【적용례】이 고시는 이 고시 시행 후 최초로 개시하는 과세기간분부터 적용한다. 제3조【종전 고시의 </w:t>
      </w:r>
      <w:proofErr w:type="spellStart"/>
      <w:r>
        <w:t>폐지】종전의</w:t>
      </w:r>
      <w:proofErr w:type="spellEnd"/>
      <w:r>
        <w:t xml:space="preserve"> 「전자기록의 보전방법 등에 관한 고시(국세청고시 제2017-33호)」는 이를 폐지한다.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D6"/>
    <w:rsid w:val="007452D6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1392"/>
  <w15:chartTrackingRefBased/>
  <w15:docId w15:val="{0BD86E51-A813-445D-AFF2-430D732B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2023-09-13T03:32:00Z</dcterms:created>
  <dcterms:modified xsi:type="dcterms:W3CDTF">2023-09-13T03:32:00Z</dcterms:modified>
</cp:coreProperties>
</file>