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0575C9" w:rsidRDefault="000575C9" w:rsidP="000575C9">
      <w:r w:rsidRPr="000575C9">
        <w:rPr>
          <w:rFonts w:ascii="Arial" w:hAnsi="Arial" w:cs="Arial"/>
        </w:rPr>
        <w:t>National Tax Service Notice No. 2020 - No. 13</w:t>
      </w:r>
      <w:r w:rsidR="00BB1F65">
        <w:rPr>
          <w:rFonts w:ascii="Arial" w:hAnsi="Arial" w:cs="Arial"/>
        </w:rPr>
        <w:t xml:space="preserve"> </w:t>
      </w:r>
      <w:r w:rsidRPr="000575C9">
        <w:rPr>
          <w:rFonts w:ascii="Arial" w:hAnsi="Arial" w:cs="Arial"/>
        </w:rPr>
        <w:t>Notice on preservation methods of electronic records, etc.</w:t>
      </w:r>
      <w:r w:rsidR="00BB1F65">
        <w:rPr>
          <w:rFonts w:ascii="Arial" w:hAnsi="Arial" w:cs="Arial"/>
        </w:rPr>
        <w:t xml:space="preserve"> </w:t>
      </w:r>
      <w:r w:rsidRPr="000575C9">
        <w:rPr>
          <w:rFonts w:ascii="Arial" w:hAnsi="Arial" w:cs="Arial"/>
        </w:rPr>
        <w:t>Pursuant to the delegation of Article 85-3, Paragraph 3 of the Framework Act on National Taxes and Article 65-7, Paragraph 2 of the Enforcement Decree of the same Act, matters regarding preservation methods of electronic records, etc. are revised and announced as follows.</w:t>
      </w:r>
      <w:r w:rsidR="00BB1F65">
        <w:rPr>
          <w:rFonts w:ascii="Arial" w:hAnsi="Arial" w:cs="Arial"/>
        </w:rPr>
        <w:t xml:space="preserve"> </w:t>
      </w:r>
      <w:r w:rsidRPr="000575C9">
        <w:rPr>
          <w:rFonts w:ascii="Arial" w:hAnsi="Arial" w:cs="Arial"/>
        </w:rPr>
        <w:t>April 27, 2020</w:t>
      </w:r>
      <w:r w:rsidR="00BB1F65">
        <w:rPr>
          <w:rFonts w:ascii="Arial" w:hAnsi="Arial" w:cs="Arial"/>
        </w:rPr>
        <w:t xml:space="preserve"> </w:t>
      </w:r>
      <w:r w:rsidRPr="000575C9">
        <w:rPr>
          <w:rFonts w:ascii="Arial" w:hAnsi="Arial" w:cs="Arial"/>
        </w:rPr>
        <w:t>Commissioner of the National Tax Service</w:t>
      </w:r>
      <w:r w:rsidR="00BB1F65">
        <w:rPr>
          <w:rFonts w:ascii="Arial" w:hAnsi="Arial" w:cs="Arial"/>
        </w:rPr>
        <w:t xml:space="preserve"> </w:t>
      </w:r>
      <w:r w:rsidRPr="000575C9">
        <w:rPr>
          <w:rFonts w:ascii="Arial" w:hAnsi="Arial" w:cs="Arial"/>
        </w:rPr>
        <w:t>Chapter 1: General Provisions</w:t>
      </w:r>
      <w:r w:rsidR="00BB1F65">
        <w:rPr>
          <w:rFonts w:ascii="Arial" w:hAnsi="Arial" w:cs="Arial"/>
        </w:rPr>
        <w:t xml:space="preserve"> </w:t>
      </w:r>
      <w:r w:rsidRPr="000575C9">
        <w:rPr>
          <w:rFonts w:ascii="Arial" w:hAnsi="Arial" w:cs="Arial"/>
        </w:rPr>
        <w:t>Article 1 [Purpose] This notice provides that taxpayers may use a computerized system to display all or part of their books and evidentiary documents in accordance with the provisions of Article 85-3, Paragraph 3 of the Framework Act on National Taxes and Article 65-7, Paragraph 2 of the Enforcement Decree of the same Act. The purpose is to stipulate preservation methods and other necessary matters regarding electronic records when creating them.</w:t>
      </w:r>
      <w:r w:rsidR="00BB1F65">
        <w:rPr>
          <w:rFonts w:ascii="Arial" w:hAnsi="Arial" w:cs="Arial"/>
        </w:rPr>
        <w:t xml:space="preserve"> </w:t>
      </w:r>
      <w:r w:rsidRPr="000575C9">
        <w:rPr>
          <w:rFonts w:ascii="Arial" w:hAnsi="Arial" w:cs="Arial"/>
        </w:rPr>
        <w:t>Article 2 [Definition] The meanings of terms used in this notice are as follows.</w:t>
      </w:r>
      <w:r w:rsidR="00BB1F65">
        <w:rPr>
          <w:rFonts w:ascii="Arial" w:hAnsi="Arial" w:cs="Arial"/>
        </w:rPr>
        <w:t xml:space="preserve"> </w:t>
      </w:r>
      <w:r w:rsidRPr="000575C9">
        <w:rPr>
          <w:rFonts w:ascii="Arial" w:hAnsi="Arial" w:cs="Arial"/>
        </w:rPr>
        <w:t>1. ‘Computational organization’ refers to a system composed of hardware, software, database, etc. that processes numbers, letters, voices, images, etc. according to electronic principles.</w:t>
      </w:r>
      <w:r w:rsidR="00BB1F65">
        <w:rPr>
          <w:rFonts w:ascii="Arial" w:hAnsi="Arial" w:cs="Arial"/>
        </w:rPr>
        <w:t xml:space="preserve"> </w:t>
      </w:r>
      <w:r w:rsidRPr="000575C9">
        <w:rPr>
          <w:rFonts w:ascii="Arial" w:hAnsi="Arial" w:cs="Arial"/>
        </w:rPr>
        <w:t>2. ‘Electronic record’ refers to information that is processed, transmitted, received, or stored in electronic form by a computer organization. However, microfilm in the form of photography is not considered an electronic record.</w:t>
      </w:r>
      <w:r w:rsidR="00BB1F65">
        <w:rPr>
          <w:rFonts w:ascii="Arial" w:hAnsi="Arial" w:cs="Arial"/>
        </w:rPr>
        <w:t xml:space="preserve"> </w:t>
      </w:r>
      <w:r w:rsidRPr="000575C9">
        <w:rPr>
          <w:rFonts w:ascii="Arial" w:hAnsi="Arial" w:cs="Arial"/>
        </w:rPr>
        <w:t>3. ‘Electronic transaction’ refers to all or part of the information in the transaction of goods or services (matters normally recorded in the order form, contract, invoice, receipt, quotation, or other similar documents received or issued in connection with the transaction). refers to a transaction that is processed through electronic records.</w:t>
      </w:r>
      <w:r w:rsidR="00BB1F65">
        <w:rPr>
          <w:rFonts w:ascii="Arial" w:hAnsi="Arial" w:cs="Arial"/>
        </w:rPr>
        <w:t xml:space="preserve"> </w:t>
      </w:r>
      <w:r w:rsidRPr="000575C9">
        <w:rPr>
          <w:rFonts w:ascii="Arial" w:hAnsi="Arial" w:cs="Arial"/>
        </w:rPr>
        <w:t>4. ‘Computational media’ refers to magnetic tapes, CDs, diskettes, USBs, external hard disk drives, and other information storage devices.</w:t>
      </w:r>
      <w:r w:rsidR="00BB1F65">
        <w:rPr>
          <w:rFonts w:ascii="Arial" w:hAnsi="Arial" w:cs="Arial"/>
        </w:rPr>
        <w:t xml:space="preserve"> </w:t>
      </w:r>
      <w:r w:rsidRPr="000575C9">
        <w:rPr>
          <w:rFonts w:ascii="Arial" w:hAnsi="Arial" w:cs="Arial"/>
        </w:rPr>
        <w:t>5. ‘Visibility’ refers to the state in which stored electronic records can be read by printing them on a screen display or printer using a computerized system.</w:t>
      </w:r>
      <w:bookmarkStart w:id="0" w:name="_GoBack"/>
      <w:bookmarkEnd w:id="0"/>
      <w:r w:rsidR="00BB1F65">
        <w:t xml:space="preserve"> </w:t>
      </w:r>
    </w:p>
    <w:sectPr w:rsidR="00040D4D" w:rsidRPr="000575C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10D" w:rsidRDefault="00E5610D" w:rsidP="00040D4D">
      <w:pPr>
        <w:spacing w:after="0" w:line="240" w:lineRule="auto"/>
      </w:pPr>
      <w:r>
        <w:separator/>
      </w:r>
    </w:p>
  </w:endnote>
  <w:endnote w:type="continuationSeparator" w:id="0">
    <w:p w:rsidR="00E5610D" w:rsidRDefault="00E5610D"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10D" w:rsidRDefault="00E5610D" w:rsidP="00040D4D">
      <w:pPr>
        <w:spacing w:after="0" w:line="240" w:lineRule="auto"/>
      </w:pPr>
      <w:r>
        <w:separator/>
      </w:r>
    </w:p>
  </w:footnote>
  <w:footnote w:type="continuationSeparator" w:id="0">
    <w:p w:rsidR="00E5610D" w:rsidRDefault="00E5610D"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0575C9"/>
    <w:rsid w:val="001E5679"/>
    <w:rsid w:val="003E3DCA"/>
    <w:rsid w:val="00414A38"/>
    <w:rsid w:val="004561AC"/>
    <w:rsid w:val="00590CD5"/>
    <w:rsid w:val="005E4ABC"/>
    <w:rsid w:val="006E0742"/>
    <w:rsid w:val="006F70C2"/>
    <w:rsid w:val="008451B4"/>
    <w:rsid w:val="008F19C3"/>
    <w:rsid w:val="00944A30"/>
    <w:rsid w:val="009C4F1E"/>
    <w:rsid w:val="00AC5361"/>
    <w:rsid w:val="00BB1F65"/>
    <w:rsid w:val="00C4005D"/>
    <w:rsid w:val="00E561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2023-10-15T06:25:00Z</dcterms:created>
  <dcterms:modified xsi:type="dcterms:W3CDTF">2023-10-15T06:25:00Z</dcterms:modified>
</cp:coreProperties>
</file>