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00" w:hanging="360"/>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혼성금융상품에 대한 이자비용 공제 제한)(#2 혼성금융상품에 대한 이자비용 공제 제한)(#3 Interest expense deduction limit for hybrid financial instruments)[n]</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개 요)(#2 개요)(#3 Overview)[n]</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혼성금융상품에 대한 이자비용 공제 제한 규정)(#2 혼성금융상품에 대한 이자비용 공제 제한 규정)(#3 Regulations on the interest expense deduction limit for hybrid financial instruments)[n]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내국법인이 국외특수관계인과의 자본 및 부채의 성격을 동시에 갖고 있는 금융상품 거래에 따라 지급한 이자 및 할인료 중 적정기간 내에 그 국외특수관계인이 소재한 국가에서 국외특수관계인의 소득에 포함되지 아니하는 등 과세되지 아니한 금액은 적정기간 종료일이 속하는 사업연도의 소득금액을 계산할 때 익금에 산입하며 법인세법§67조에 따른 기타사외유출로 처분된 것으로 봅니다.(국조법§25))(#2 내국법인이 국외특수관계인과의 자본 및 부채의 성격을 동시에 갖고 있는 금융상품 거래에 따라 지급한 이자 중 적정기간 내에 국외특수관계인이 소재한 국가에서 해당 이자에 대해 과세하지 않은 금액은 내국법인의 이익에 가산하며 법인세법에 따른 기타사외유출로 처분된 것으로 봅니다.)(#3 In the case where a domestic corporation pays interest on financial transactions with foreign specially related parties that have both equity and debt characteristics, the amount of interest that has not been taxed in the country where the foreign specially related party is located within a reasonable period is added to the income of the domestic corporation and treated as an other foreign outflow under the Corporate Tax Act.) {e2&lt;n&gt;,r3&lt;n&gt;}</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법인세 납부세액 계산식)(#2 법인세 납부세액 계산식)(#3 Calculation formula for corporate tax payable amount)[n]</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내국법인은 아래 국외특수관계인인 거래상대방에 대한 지급이자 및 할인료를 손금에 산입한 사업연도에 손금에 산입하지 않았을 경우 발생했을 법인세액의 차액에 손금에 산입한 사업연도의 다음 사업연도 개시일부터 익금에 산입한 사업연도의 종료일까지의 기간에 대하여 1일 당 0.022퍼센트의 비율을 곱하여 계산한 이자 상당액을 적정기간 종료일이 속하는 사업연도의 법인세에 더하여 납부하여야 합니다)(#2 내국법인은 국외특수관계인인 거래상대방에 대해 지급한 이자를 비용처리한 경우와 비용처리 하지 않았을 경우의 법인세 차액과 비용처리한 사업연도의 다음 사업연도 개시일부터 비용처리하지 않은 사업연도의 종료일까지의 기간에 대하여 1일당 0.022퍼센트의 비율을 곱한 이자상당액을 가산하여 적정기간 종료일이 속하는 사업연도의 법인세에 더하여 납부해야 합니다.)(#3 In cases where a domestic corporation has paid interest to foreign specially related parties and has accounted for it as an expense, as well as cases where it has not accounted for it as an expense, the difference in corporate tax between the two scenarios, plus the interest equivalent amount calculated at a rate of 0.022% per day from the beginning of the next fiscal year after the fiscal year in which the expense was recognized to the end of the fiscal year in which the expense was not recognized, must be added and paid.){e1&lt;이 경우&gt;,r%3-5&lt;n&gt;}</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 (#1 혼성금융상품에 대한 이자비용 공제 제한 규정 적용범위)(#2 혼성금융상품에 대한 이자비용 공제 제한 규정 적용범위)(#3 Scope of application of regulations on the interest expense deduction limit for hybrid financial instruments)[n]</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혼성금융상품에 대한 이자비용 공제 제한 제도는 국가간 세법차이를 이용한 조세 회피를 방지하기 위하여 신설된 제도로서 2018.1.1. 이후 개시하는 사업연도부터 적용됩니다.)(#2 혼성금융상품에 대한 이자비용 공제 제한 제도는 국가간 세법차이를 이용한 세금 회피를 방지하기 위하여 신설된 제도로서 2018.1.1. 이후 개시하는 사업연도부터 적용됩니다.)(#3 The interest expense deduction limit regulation for hybrid financial instruments is a newly established regulation to prevent tax avoidance using differences in tax laws between countries and applies to fiscal years beginning on or after January 1, 2018.){e1&lt;n&gt;}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손금 불산입 요건 및 방법)(#2 비용으로 인정하지 않는 요건 및 방법)(#3 Requirements and methods for not recognizing as expenses)[n]</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혼성금융상품 조건(국조령§57))(#2 혼성금융상품 조건)(#3 Conditions for hybrid financial instruments)[n]</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혼성금융상품이란 부채</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자본 성격을 동시에 갖는 금융상품(예, 이익참가부 사채)으로 2가지 요건을 모두 충족하는 금융상품을 말합니다(금융 및 보험업을 영위하는 내국법인이 발행하는 금융상품은 제외))(#2 혼성금융상품이란 부채</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자본 성격을 동시에 갖는 금융상품(예, 회사의 이익을 배부받을 수 있는 사채)으로 2가지 요건을 모두 충족하는 금융상품을 말합니다.)(#3 Hybrid financial instruments refer to financial instruments that simultaneously possess characteristics of both debt and equity (e.g., bonds that entitle the company to receive profits) and meet both of these requirements.){ r%2-1&lt;n&gt;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(#1 혼성금융상품 충족요건)(#2 혼성금융상품 충족요건)(#3 Requirements for hybrid financial instruments)[T,e1&lt;n&gt;]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우리나라의 경우)(#2 우리나라의 경우)(#3 In the case of South Korea)[n]</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우리나라의 세법에 따라 해당 금융상품을 부채로 보아 내국법인이 해당 금융상품의 거래에 따라 국외특수관계인인 외국법인(이하 “거래상대방”)에게 지급하는 이자 및 할인료를 이자비용으로 취급할 것)(#2 우리나라의 세법에 따라 해당 금융상품을 부채로 보아 내국법인이 해당 금융상품의 거래에 따라 국외특수관계인인 외국법인(이하 “거래상대방”)에게 지급하는 이자 및 할인료를 이자비용으로 취급합니다.)(#3 Under South Korea's tax laws, if the financial instrument is considered debt, interest and discount expenses paid by the domestic corporation to a foreign corporation (referred to as the "counterparty") in relation to the financial instrument's transaction are treated as interest expenses.){n}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 거래상대방이 소재한 국가의 경우)(#2 거래상대방이 소재한 국가의 경우)(#3 In the case of the country where the counterparty is located)[n]</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그 국가의 세법에 따라 해당 금융상품을 자본으로 보아 거래상대방이 내국법인으로부터 지급받는 이자 및 할인료를 배당 소득으로 취급할 것)(#2 그 국가의 세법에 따라 해당 금융상품을 자본으로 보아 거래상대방이 내국법인으로부터 지급받는 이자 및 할인료를 배당 소득으로 취급합니다.)(#3 In that country's tax laws, if the financial instrument is considered equity, interest and discount expenses received by the counterparty from the domestic corporation are treated as dividend income.){n}</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 적정기간(국조령§58))(#2 적정기간)(#3 The appropriate period)[n]</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내국법인이 혼성금융상품의 거래에 따라 이자 및 할인료를 지급하는 사업연도의 종료일부터 12개월 이내에 개시하는 거래상대방의 사업연도의 종료일까지의 기간을 말합니다.)(#2 내국법인이 혼성금융상품의 거래에 따라 이자를 지급하는 사업연도의 종료일부터 12개월 이내에 개시하는 거래상대방의 사업연도의 종료일까지의 기간을 말합니다.)(#3 The period from the end of the fiscal year in which a domestic corporation pays interest on transactions involving hybrid financial instruments to the end of the fiscal year of the counterparty, commencing within 12 months, is referred to as the "appropriate period."){e%2-1&lt;n&gt;}</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 (#1 내국법인이 혼성금융상품 거래에 따라 지급한 이자비용이 거래상대방이 소재한 국가에서 배당소득으로 취급되어 과세되지 아니한 금액의 범위)(#2 내국법인이 혼성금융상품 거래에 따라 지급한 이자비용이 거래상대방이 소재한 국가에서 배당소득으로 취급되어 과세되지 아니한 금액의 범위)(#3 The range of the amount not subject to taxation because the interest expenses paid by a domestic corporation on transactions involving hybrid financial instruments were treated as dividend income in the country where the counterparty is located)[T,r%2-1&lt;n&gt;]</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{1}(#1 =해당 이자등의 전부가 거래상대방의 과세소득에 포함되지 아니하는 경우 : 전체금액)(#2 =해당 이자등의 전부가 거래상대방의 과세소득에 포함되지 아니하는 경우 : 전체금액)(#3 =When all of the interest or similar payments are not included in the counterparty's taxable income: The entire amount){n}</w:t>
      </w:r>
    </w:p>
    <w:p w:rsidR="00000000" w:rsidDel="00000000" w:rsidP="00000000" w:rsidRDefault="00000000" w:rsidRPr="00000000" w14:paraId="000000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{2}(#1 =해당 이자등의 100분의 10 미만으로 과세소득에 포함되는 경우 : 과세소득에 포함되지 않은 금액)(#2 =해당 이자등의 100분의 10 미만으로 과세소득에 포함되는 경우 : 과세소득에 포함되지 않은 금액)(#3 =When less than 10% of such interest or similar payments is included in taxable income: The amount not included in taxable income.){n}</w:t>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[8](#1 손금불산입 금액 산출방법)(#2 비용으로 인정받지 않는 금액 산출방법)(#3 Method for calculating the amount not recognized as an expense)[n]</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국제조세조정에 관한 법률§25②에 따라 적정기간 종료일이 속하는 사업연도의 소득금액을 계산할 때 손금에 산입하지 아니하는 금액은 내국법인이 거래상대방에게 지급하는 이자 및 할인료 금액에 거래상대방이 내국법인으로부터 지급받는 배당소득 금액 중 과세되지 아니한 금액이 차지하는 비율을 곱하여 산출한 금액으로 합니다(국조령§59②).)(#2 국제조세조정법에 따라 적정기간 종료일이 속하는 사업연도의 소득금액을 계산할 때 비용으로 인정받지 않는 금액은 내국법인이 거래상대방에게 지급하는 이자에 거래상대방이 내국법인으로부터 지급받는 배당소득 금액 중 과세되지 않는 금액이 차지하는 비율을 곱하여 산출합니다.)(#3 When calculating the income amount for the fiscal year in which the adjustment period ends under the Adjustment of International Taxes Act, the amount not recognized as an expense is calculated by multiplying the ratio of the amount of interest paid by a domestic corporation to the amount of dividend income received by the counterparty from the domestic corporation, which is not subject to taxation.) {r%2-1&lt;n&gt;}</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(#1 혼성금융상품 관련 이자비용 신고방법)(#2 혼성금융상품 관련 이자비용 신고방법)(#3 Declaration of interest expense regarding hybrid financial instruments)[n]</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국제조세조정에 관한 법률 시행령§57에 따른 혼성금융상품 거래를 하는 내국법인은 기획재정부령으로 정하는 혼성금융상품 관련 이자비용에 대한 조정명세서를 법인세의 과세표준과 세액의 확정 신고 시 납세지 관할 세무서장에게 제출하여야 합니다.)(#2 국세조세조정법에 따른 혼성금융상품 거래를 하는 내국법인은 혼성금융상품 관련 이자비용에 대한 조정명세서를 법인세의 과세표준과 세금의 확정 신고 시 납세지 관할 세무서장에게 제출하여야 합니다.)(#3 A domestic corporation engaged in transactions related to hybrid financial instruments under the Adjustment of International Taxes Act must submit an adjustment statement for interest expenses related to hybrid financial instruments to the head of the tax office having jurisdiction over the place of taxation when filing the tax base and tax return for corporate tax.){r%2-1&lt;n&gt;,r13&lt;n&gt;,r14&lt;n&gt;}</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[13](#1 $(혼성금융상품 관련 이자비용에 대한 조정 명세서_앞쪽))(#2 $(혼성금융상품 관련 이자비용에 대한 조정 명세서_앞쪽))(#3 $(Adjustment statement for interest expenses related to hybrid financial onstruments - Front page))[n]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32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428090" cy="4500148"/>
            <wp:effectExtent b="0" l="0" r="0" t="0"/>
            <wp:docPr descr="텍스트, 번호, 스크린샷, 폰트이(가) 표시된 사진&#10;&#10;자동 생성된 설명" id="985489694" name="image1.png"/>
            <a:graphic>
              <a:graphicData uri="http://schemas.openxmlformats.org/drawingml/2006/picture">
                <pic:pic>
                  <pic:nvPicPr>
                    <pic:cNvPr descr="텍스트, 번호, 스크린샷, 폰트이(가) 표시된 사진&#10;&#10;자동 생성된 설명" id="0" name="image1.png"/>
                    <pic:cNvPicPr preferRelativeResize="0"/>
                  </pic:nvPicPr>
                  <pic:blipFill>
                    <a:blip r:embed="rId7"/>
                    <a:srcRect b="0" l="0" r="0" t="0"/>
                    <a:stretch>
                      <a:fillRect/>
                    </a:stretch>
                  </pic:blipFill>
                  <pic:spPr>
                    <a:xfrm>
                      <a:off x="0" y="0"/>
                      <a:ext cx="3428090" cy="4500148"/>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{e11&lt;n&gt;}</w:t>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tl w:val="0"/>
        </w:rPr>
        <w:t xml:space="preserve">[14](#1 $(혼성금융상품 관련 이자비용에 대한 조정 명세서_뒤쪽))(#2 $(혼성금융상품 관련 이자비용에 대한 조정 명세서_뒤쪽))(#3 $(Adjustment statement for interest expenses related to hybrid financial instruments - Back page))[n]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32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628267" cy="4774721"/>
            <wp:effectExtent b="0" l="0" r="0" t="0"/>
            <wp:docPr descr="텍스트, 스크린샷, 폰트, 번호이(가) 표시된 사진&#10;&#10;자동 생성된 설명" id="985489695" name="image2.png"/>
            <a:graphic>
              <a:graphicData uri="http://schemas.openxmlformats.org/drawingml/2006/picture">
                <pic:pic>
                  <pic:nvPicPr>
                    <pic:cNvPr descr="텍스트, 스크린샷, 폰트, 번호이(가) 표시된 사진&#10;&#10;자동 생성된 설명" id="0" name="image2.png"/>
                    <pic:cNvPicPr preferRelativeResize="0"/>
                  </pic:nvPicPr>
                  <pic:blipFill>
                    <a:blip r:embed="rId8"/>
                    <a:srcRect b="0" l="0" r="0" t="0"/>
                    <a:stretch>
                      <a:fillRect/>
                    </a:stretch>
                  </pic:blipFill>
                  <pic:spPr>
                    <a:xfrm>
                      <a:off x="0" y="0"/>
                      <a:ext cx="3628267" cy="4774721"/>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{e11&lt;n&gt;}</w:t>
      </w:r>
    </w:p>
    <w:p w:rsidR="00000000" w:rsidDel="00000000" w:rsidP="00000000" w:rsidRDefault="00000000" w:rsidRPr="00000000" w14:paraId="0000001F">
      <w:pPr>
        <w:rPr/>
      </w:pPr>
      <w:r w:rsidDel="00000000" w:rsidR="00000000" w:rsidRPr="00000000">
        <w:rPr>
          <w:rtl w:val="0"/>
        </w:rPr>
        <w:t xml:space="preserve">&lt;boe&gt;</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351C5A"/>
    <w:pPr>
      <w:ind w:left="800" w:leftChars="400"/>
    </w:pPr>
  </w:style>
  <w:style w:type="paragraph" w:styleId="a4">
    <w:name w:val="header"/>
    <w:basedOn w:val="a"/>
    <w:link w:val="Char"/>
    <w:uiPriority w:val="99"/>
    <w:unhideWhenUsed w:val="1"/>
    <w:rsid w:val="00DF43D4"/>
    <w:pPr>
      <w:tabs>
        <w:tab w:val="center" w:pos="4513"/>
        <w:tab w:val="right" w:pos="9026"/>
      </w:tabs>
      <w:snapToGrid w:val="0"/>
    </w:pPr>
  </w:style>
  <w:style w:type="character" w:styleId="Char" w:customStyle="1">
    <w:name w:val="머리글 Char"/>
    <w:basedOn w:val="a0"/>
    <w:link w:val="a4"/>
    <w:uiPriority w:val="99"/>
    <w:rsid w:val="00DF43D4"/>
  </w:style>
  <w:style w:type="paragraph" w:styleId="a5">
    <w:name w:val="footer"/>
    <w:basedOn w:val="a"/>
    <w:link w:val="Char0"/>
    <w:uiPriority w:val="99"/>
    <w:unhideWhenUsed w:val="1"/>
    <w:rsid w:val="00DF43D4"/>
    <w:pPr>
      <w:tabs>
        <w:tab w:val="center" w:pos="4513"/>
        <w:tab w:val="right" w:pos="9026"/>
      </w:tabs>
      <w:snapToGrid w:val="0"/>
    </w:pPr>
  </w:style>
  <w:style w:type="character" w:styleId="Char0" w:customStyle="1">
    <w:name w:val="바닥글 Char"/>
    <w:basedOn w:val="a0"/>
    <w:link w:val="a5"/>
    <w:uiPriority w:val="99"/>
    <w:rsid w:val="00DF43D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mkvwR3O2EyfQcZoW7tkE6Vs0eQ==">CgMxLjA4AHIhMTBmWVRjSHRhSEh0ZFBLbHdSMU53SFdMNUZ4RzBYT1Rf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2023-09-27T16:27:00Z</dcterms:created>
  <dc:creator>Noh Eunsun</dc:creator>
</cp:coreProperties>
</file>