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0119" w14:textId="084D8B22" w:rsidR="003C432E" w:rsidRPr="00C929AE" w:rsidRDefault="00C929AE" w:rsidP="00C929AE">
      <w:pPr>
        <w:rPr>
          <w:rFonts w:ascii="Arial" w:hAnsi="Arial" w:cs="Arial"/>
          <w:sz w:val="20"/>
          <w:szCs w:val="20"/>
        </w:rPr>
      </w:pPr>
      <w:r w:rsidRPr="00C929AE">
        <w:rPr>
          <w:rFonts w:ascii="Arial" w:hAnsi="Arial" w:cs="Arial"/>
          <w:sz w:val="20"/>
          <w:szCs w:val="20"/>
        </w:rPr>
        <w:t>(Back)</w:t>
      </w:r>
      <w:r>
        <w:rPr>
          <w:rFonts w:ascii="Arial" w:hAnsi="Arial" w:cs="Arial"/>
          <w:sz w:val="20"/>
          <w:szCs w:val="20"/>
        </w:rPr>
        <w:t xml:space="preserve"> </w:t>
      </w:r>
      <w:r w:rsidRPr="00C929AE">
        <w:rPr>
          <w:rFonts w:ascii="맑은 고딕" w:eastAsia="맑은 고딕" w:hAnsi="맑은 고딕" w:cs="맑은 고딕" w:hint="eastAsia"/>
          <w:sz w:val="20"/>
          <w:szCs w:val="20"/>
        </w:rPr>
        <w:t>※</w:t>
      </w:r>
      <w:r w:rsidRPr="00C929AE">
        <w:rPr>
          <w:rFonts w:ascii="Arial" w:hAnsi="Arial" w:cs="Arial"/>
          <w:sz w:val="20"/>
          <w:szCs w:val="20"/>
        </w:rPr>
        <w:t xml:space="preserve"> Domestic corporations that engage in financial product transactions pursuant to Article 57 of the Enforcement Decree of the International Tax Adjustment Act must prepare this statement.</w:t>
      </w:r>
      <w:r>
        <w:rPr>
          <w:rFonts w:ascii="Arial" w:hAnsi="Arial" w:cs="Arial"/>
          <w:sz w:val="20"/>
          <w:szCs w:val="20"/>
        </w:rPr>
        <w:t xml:space="preserve"> </w:t>
      </w:r>
      <w:r w:rsidRPr="00C929AE">
        <w:rPr>
          <w:rFonts w:ascii="Arial" w:hAnsi="Arial" w:cs="Arial"/>
          <w:sz w:val="20"/>
          <w:szCs w:val="20"/>
        </w:rPr>
        <w:t>1.</w:t>
      </w:r>
      <w:r>
        <w:rPr>
          <w:rFonts w:ascii="Arial" w:hAnsi="Arial" w:cs="Arial"/>
          <w:sz w:val="20"/>
          <w:szCs w:val="20"/>
        </w:rPr>
        <w:t xml:space="preserve"> </w:t>
      </w:r>
      <w:r w:rsidRPr="00C929AE">
        <w:rPr>
          <w:rFonts w:ascii="Arial" w:hAnsi="Arial" w:cs="Arial"/>
          <w:sz w:val="20"/>
          <w:szCs w:val="20"/>
        </w:rPr>
        <w:t>“1. “Hybrid Financial Product Transaction Details” contains the financial product transaction details in accordance with Article 57 of the Enforcement Decree of the International Tax Adjustment Act.</w:t>
      </w:r>
      <w:r>
        <w:rPr>
          <w:rFonts w:ascii="Arial" w:hAnsi="Arial" w:cs="Arial"/>
          <w:sz w:val="20"/>
          <w:szCs w:val="20"/>
        </w:rPr>
        <w:t xml:space="preserve"> </w:t>
      </w:r>
      <w:r w:rsidRPr="00C929AE">
        <w:rPr>
          <w:rFonts w:ascii="Arial" w:hAnsi="Arial" w:cs="Arial"/>
          <w:sz w:val="20"/>
          <w:szCs w:val="20"/>
        </w:rPr>
        <w:t>2.</w:t>
      </w:r>
      <w:r>
        <w:rPr>
          <w:rFonts w:ascii="Arial" w:hAnsi="Arial" w:cs="Arial"/>
          <w:sz w:val="20"/>
          <w:szCs w:val="20"/>
        </w:rPr>
        <w:t xml:space="preserve"> </w:t>
      </w:r>
      <w:r w:rsidRPr="00C929AE">
        <w:rPr>
          <w:rFonts w:ascii="Arial" w:hAnsi="Arial" w:cs="Arial"/>
          <w:sz w:val="20"/>
          <w:szCs w:val="20"/>
        </w:rPr>
        <w:t xml:space="preserve">2. </w:t>
      </w:r>
      <w:r w:rsidRPr="00C929AE">
        <w:rPr>
          <w:rFonts w:ascii="맑은 고딕" w:eastAsia="맑은 고딕" w:hAnsi="맑은 고딕" w:cs="맑은 고딕" w:hint="eastAsia"/>
          <w:sz w:val="20"/>
          <w:szCs w:val="20"/>
        </w:rPr>
        <w:t>②</w:t>
      </w:r>
      <w:r w:rsidRPr="00C929AE">
        <w:rPr>
          <w:rFonts w:ascii="Arial" w:hAnsi="Arial" w:cs="Arial"/>
          <w:sz w:val="20"/>
          <w:szCs w:val="20"/>
        </w:rPr>
        <w:t>: Enter the maturity date of the hybrid financial product (repayment date if there is a repayment period, conversion date in the case of convertible bonds, etc.).</w:t>
      </w:r>
      <w:r>
        <w:rPr>
          <w:rFonts w:ascii="Arial" w:hAnsi="Arial" w:cs="Arial"/>
          <w:sz w:val="20"/>
          <w:szCs w:val="20"/>
        </w:rPr>
        <w:t xml:space="preserve"> </w:t>
      </w:r>
      <w:r w:rsidRPr="00C929AE">
        <w:rPr>
          <w:rFonts w:ascii="Arial" w:hAnsi="Arial" w:cs="Arial"/>
          <w:sz w:val="20"/>
          <w:szCs w:val="20"/>
        </w:rPr>
        <w:t>3.</w:t>
      </w:r>
      <w:r>
        <w:rPr>
          <w:rFonts w:ascii="Arial" w:hAnsi="Arial" w:cs="Arial"/>
          <w:sz w:val="20"/>
          <w:szCs w:val="20"/>
        </w:rPr>
        <w:t xml:space="preserve"> </w:t>
      </w:r>
      <w:r w:rsidRPr="00C929AE">
        <w:rPr>
          <w:rFonts w:ascii="Arial" w:hAnsi="Arial" w:cs="Arial"/>
          <w:sz w:val="20"/>
          <w:szCs w:val="20"/>
        </w:rPr>
        <w:t xml:space="preserve">3. </w:t>
      </w:r>
      <w:r w:rsidRPr="00C929AE">
        <w:rPr>
          <w:rFonts w:ascii="맑은 고딕" w:eastAsia="맑은 고딕" w:hAnsi="맑은 고딕" w:cs="맑은 고딕" w:hint="eastAsia"/>
          <w:sz w:val="20"/>
          <w:szCs w:val="20"/>
        </w:rPr>
        <w:t>③</w:t>
      </w:r>
      <w:r w:rsidRPr="00C929AE">
        <w:rPr>
          <w:rFonts w:ascii="Arial" w:hAnsi="Arial" w:cs="Arial"/>
          <w:sz w:val="20"/>
          <w:szCs w:val="20"/>
        </w:rPr>
        <w:t>: Enter the product name of the hybrid financial product listed in the contract.</w:t>
      </w:r>
      <w:r>
        <w:rPr>
          <w:rFonts w:ascii="Arial" w:hAnsi="Arial" w:cs="Arial"/>
          <w:sz w:val="20"/>
          <w:szCs w:val="20"/>
        </w:rPr>
        <w:t xml:space="preserve"> </w:t>
      </w:r>
      <w:r w:rsidRPr="00C929AE">
        <w:rPr>
          <w:rFonts w:ascii="Arial" w:hAnsi="Arial" w:cs="Arial"/>
          <w:sz w:val="20"/>
          <w:szCs w:val="20"/>
        </w:rPr>
        <w:t>4.</w:t>
      </w:r>
      <w:r>
        <w:rPr>
          <w:rFonts w:ascii="Arial" w:hAnsi="Arial" w:cs="Arial"/>
          <w:sz w:val="20"/>
          <w:szCs w:val="20"/>
        </w:rPr>
        <w:t xml:space="preserve"> </w:t>
      </w:r>
      <w:r w:rsidRPr="00C929AE">
        <w:rPr>
          <w:rFonts w:ascii="Arial" w:hAnsi="Arial" w:cs="Arial"/>
          <w:sz w:val="20"/>
          <w:szCs w:val="20"/>
        </w:rPr>
        <w:t xml:space="preserve">4. </w:t>
      </w:r>
      <w:r w:rsidRPr="00C929AE">
        <w:rPr>
          <w:rFonts w:ascii="맑은 고딕" w:eastAsia="맑은 고딕" w:hAnsi="맑은 고딕" w:cs="맑은 고딕" w:hint="eastAsia"/>
          <w:sz w:val="20"/>
          <w:szCs w:val="20"/>
        </w:rPr>
        <w:t>④</w:t>
      </w:r>
      <w:r w:rsidRPr="00C929AE">
        <w:rPr>
          <w:rFonts w:ascii="Arial" w:hAnsi="Arial" w:cs="Arial"/>
          <w:sz w:val="20"/>
          <w:szCs w:val="20"/>
        </w:rPr>
        <w:t>: Enter the initial issuance price of the relevant hybrid financial product.</w:t>
      </w:r>
      <w:r>
        <w:rPr>
          <w:rFonts w:ascii="Arial" w:hAnsi="Arial" w:cs="Arial"/>
          <w:sz w:val="20"/>
          <w:szCs w:val="20"/>
        </w:rPr>
        <w:t xml:space="preserve"> </w:t>
      </w:r>
      <w:r w:rsidRPr="00C929AE">
        <w:rPr>
          <w:rFonts w:ascii="Arial" w:hAnsi="Arial" w:cs="Arial"/>
          <w:sz w:val="20"/>
          <w:szCs w:val="20"/>
        </w:rPr>
        <w:t>5.</w:t>
      </w:r>
      <w:r>
        <w:rPr>
          <w:rFonts w:ascii="Arial" w:hAnsi="Arial" w:cs="Arial"/>
          <w:sz w:val="20"/>
          <w:szCs w:val="20"/>
        </w:rPr>
        <w:t xml:space="preserve"> </w:t>
      </w:r>
      <w:r w:rsidRPr="00C929AE">
        <w:rPr>
          <w:rFonts w:ascii="Arial" w:hAnsi="Arial" w:cs="Arial"/>
          <w:sz w:val="20"/>
          <w:szCs w:val="20"/>
        </w:rPr>
        <w:t xml:space="preserve">5. </w:t>
      </w:r>
      <w:r w:rsidRPr="00C929AE">
        <w:rPr>
          <w:rFonts w:ascii="맑은 고딕" w:eastAsia="맑은 고딕" w:hAnsi="맑은 고딕" w:cs="맑은 고딕" w:hint="eastAsia"/>
          <w:sz w:val="20"/>
          <w:szCs w:val="20"/>
        </w:rPr>
        <w:t>⑤</w:t>
      </w:r>
      <w:r w:rsidRPr="00C929AE">
        <w:rPr>
          <w:rFonts w:ascii="Arial" w:hAnsi="Arial" w:cs="Arial"/>
          <w:sz w:val="20"/>
          <w:szCs w:val="20"/>
        </w:rPr>
        <w:t>: Enter the name of the counterparty company, which is an overseas specially related person with whom the hybrid financial product transaction took place.</w:t>
      </w:r>
      <w:r>
        <w:rPr>
          <w:rFonts w:ascii="Arial" w:hAnsi="Arial" w:cs="Arial"/>
          <w:sz w:val="20"/>
          <w:szCs w:val="20"/>
        </w:rPr>
        <w:t xml:space="preserve"> </w:t>
      </w:r>
      <w:r w:rsidRPr="00C929AE">
        <w:rPr>
          <w:rFonts w:ascii="Arial" w:hAnsi="Arial" w:cs="Arial"/>
          <w:sz w:val="20"/>
          <w:szCs w:val="20"/>
        </w:rPr>
        <w:t>6.</w:t>
      </w:r>
      <w:r>
        <w:rPr>
          <w:rFonts w:ascii="Arial" w:hAnsi="Arial" w:cs="Arial"/>
          <w:sz w:val="20"/>
          <w:szCs w:val="20"/>
        </w:rPr>
        <w:t xml:space="preserve"> </w:t>
      </w:r>
      <w:r w:rsidRPr="00C929AE">
        <w:rPr>
          <w:rFonts w:ascii="맑은 고딕" w:eastAsia="맑은 고딕" w:hAnsi="맑은 고딕" w:cs="맑은 고딕" w:hint="eastAsia"/>
          <w:sz w:val="20"/>
          <w:szCs w:val="20"/>
        </w:rPr>
        <w:t>⑦</w:t>
      </w:r>
      <w:r w:rsidRPr="00C929AE">
        <w:rPr>
          <w:rFonts w:ascii="Arial" w:hAnsi="Arial" w:cs="Arial"/>
          <w:sz w:val="20"/>
          <w:szCs w:val="20"/>
        </w:rPr>
        <w:t>: Write down according to the following categories.</w:t>
      </w:r>
      <w:r>
        <w:rPr>
          <w:rFonts w:ascii="Arial" w:hAnsi="Arial" w:cs="Arial"/>
          <w:sz w:val="20"/>
          <w:szCs w:val="20"/>
        </w:rPr>
        <w:t xml:space="preserve"> </w:t>
      </w:r>
      <w:r w:rsidRPr="00C929AE">
        <w:rPr>
          <w:rFonts w:ascii="Arial" w:hAnsi="Arial" w:cs="Arial"/>
          <w:sz w:val="20"/>
          <w:szCs w:val="20"/>
        </w:rPr>
        <w:t>A. If the submitter directly or indirectly owns more than 50% of the voting stocks (shares) of an overseas specially related person (Article 2 (2) 1 (a) of the Enforcement Decree of the International Tax Adjustment Act): “Control” write.</w:t>
      </w:r>
      <w:r>
        <w:rPr>
          <w:rFonts w:ascii="Arial" w:hAnsi="Arial" w:cs="Arial"/>
          <w:sz w:val="20"/>
          <w:szCs w:val="20"/>
        </w:rPr>
        <w:t xml:space="preserve"> </w:t>
      </w:r>
      <w:r w:rsidRPr="00C929AE">
        <w:rPr>
          <w:rFonts w:ascii="Arial" w:hAnsi="Arial" w:cs="Arial"/>
          <w:sz w:val="20"/>
          <w:szCs w:val="20"/>
        </w:rPr>
        <w:t>B. If an overseas related party directly or indirectly owns more than 50% of the voting stocks (shares) of the submitter (Article 2 (2) 1 (b) of the Enforcement Decree of the International Tax Adjustment Act): “Controlled Write ”.</w:t>
      </w:r>
      <w:r>
        <w:rPr>
          <w:rFonts w:ascii="Arial" w:hAnsi="Arial" w:cs="Arial"/>
          <w:sz w:val="20"/>
          <w:szCs w:val="20"/>
        </w:rPr>
        <w:t xml:space="preserve"> </w:t>
      </w:r>
      <w:r w:rsidRPr="00C929AE">
        <w:rPr>
          <w:rFonts w:ascii="Arial" w:hAnsi="Arial" w:cs="Arial"/>
          <w:sz w:val="20"/>
          <w:szCs w:val="20"/>
        </w:rPr>
        <w:t>C. When the same third party directly or indirectly owns more than 50% of the voting stocks (equity shares) of the foreign specially related person and the submitter (Article 2 (2) 2 of the Enforcement Decree of the International Tax Adjustment Act) : write as “affiliate”</w:t>
      </w:r>
      <w:r>
        <w:rPr>
          <w:rFonts w:ascii="Arial" w:hAnsi="Arial" w:cs="Arial"/>
          <w:sz w:val="20"/>
          <w:szCs w:val="20"/>
        </w:rPr>
        <w:t xml:space="preserve"> </w:t>
      </w:r>
      <w:r w:rsidRPr="00C929AE">
        <w:rPr>
          <w:rFonts w:ascii="Arial" w:hAnsi="Arial" w:cs="Arial"/>
          <w:sz w:val="20"/>
          <w:szCs w:val="20"/>
        </w:rPr>
        <w:t>D. The submitter and the overseas specially related person have common interests and either party can substantially determine all or an important part of the business policy of the other party, or a third party can substantially determine the business policy of the submitter and the overseas specially related person. In cases where it is possible (Article 2 (2) 3 and 4 of the Enforcement Decree of the International Tax Adjustment Act): Enter “actual control.”</w:t>
      </w:r>
      <w:r>
        <w:rPr>
          <w:rFonts w:ascii="Arial" w:hAnsi="Arial" w:cs="Arial"/>
          <w:sz w:val="20"/>
          <w:szCs w:val="20"/>
        </w:rPr>
        <w:t xml:space="preserve"> </w:t>
      </w:r>
      <w:r w:rsidRPr="00C929AE">
        <w:rPr>
          <w:rFonts w:ascii="Arial" w:hAnsi="Arial" w:cs="Arial"/>
          <w:sz w:val="20"/>
          <w:szCs w:val="20"/>
        </w:rPr>
        <w:t>7.</w:t>
      </w:r>
      <w:r>
        <w:rPr>
          <w:rFonts w:ascii="Arial" w:hAnsi="Arial" w:cs="Arial"/>
          <w:sz w:val="20"/>
          <w:szCs w:val="20"/>
        </w:rPr>
        <w:t xml:space="preserve"> </w:t>
      </w:r>
      <w:r w:rsidRPr="00C929AE">
        <w:rPr>
          <w:rFonts w:ascii="Arial" w:hAnsi="Arial" w:cs="Arial"/>
          <w:sz w:val="20"/>
          <w:szCs w:val="20"/>
        </w:rPr>
        <w:t xml:space="preserve">7. </w:t>
      </w:r>
      <w:r w:rsidRPr="00C929AE">
        <w:rPr>
          <w:rFonts w:ascii="맑은 고딕" w:eastAsia="맑은 고딕" w:hAnsi="맑은 고딕" w:cs="맑은 고딕" w:hint="eastAsia"/>
          <w:sz w:val="20"/>
          <w:szCs w:val="20"/>
        </w:rPr>
        <w:t>⑩</w:t>
      </w:r>
      <w:r w:rsidRPr="00C929AE">
        <w:rPr>
          <w:rFonts w:ascii="Arial" w:hAnsi="Arial" w:cs="Arial"/>
          <w:sz w:val="20"/>
          <w:szCs w:val="20"/>
        </w:rPr>
        <w:t>: Enter the interest rate applied to the relevant hybrid financial product.</w:t>
      </w:r>
      <w:r>
        <w:rPr>
          <w:rFonts w:ascii="Arial" w:hAnsi="Arial" w:cs="Arial"/>
          <w:sz w:val="20"/>
          <w:szCs w:val="20"/>
        </w:rPr>
        <w:t xml:space="preserve"> </w:t>
      </w:r>
      <w:r w:rsidRPr="00C929AE">
        <w:rPr>
          <w:rFonts w:ascii="Arial" w:hAnsi="Arial" w:cs="Arial"/>
          <w:sz w:val="20"/>
          <w:szCs w:val="20"/>
        </w:rPr>
        <w:t>8.</w:t>
      </w:r>
      <w:r>
        <w:rPr>
          <w:rFonts w:ascii="Arial" w:hAnsi="Arial" w:cs="Arial"/>
          <w:sz w:val="20"/>
          <w:szCs w:val="20"/>
        </w:rPr>
        <w:t xml:space="preserve"> </w:t>
      </w:r>
      <w:r w:rsidRPr="00C929AE">
        <w:rPr>
          <w:rFonts w:ascii="Arial" w:hAnsi="Arial" w:cs="Arial"/>
          <w:sz w:val="20"/>
          <w:szCs w:val="20"/>
        </w:rPr>
        <w:t xml:space="preserve">8. </w:t>
      </w:r>
      <w:r w:rsidRPr="00C929AE">
        <w:rPr>
          <w:rFonts w:ascii="맑은 고딕" w:eastAsia="맑은 고딕" w:hAnsi="맑은 고딕" w:cs="맑은 고딕" w:hint="eastAsia"/>
          <w:sz w:val="20"/>
          <w:szCs w:val="20"/>
        </w:rPr>
        <w:t>⑪</w:t>
      </w:r>
      <w:r w:rsidRPr="00C929AE">
        <w:rPr>
          <w:rFonts w:ascii="Arial" w:hAnsi="Arial" w:cs="Arial"/>
          <w:sz w:val="20"/>
          <w:szCs w:val="20"/>
        </w:rPr>
        <w:t xml:space="preserve">, </w:t>
      </w:r>
      <w:r w:rsidRPr="00C929AE">
        <w:rPr>
          <w:rFonts w:ascii="Cambria Math" w:hAnsi="Cambria Math" w:cs="Cambria Math"/>
          <w:sz w:val="20"/>
          <w:szCs w:val="20"/>
        </w:rPr>
        <w:t>⑲</w:t>
      </w:r>
      <w:r w:rsidRPr="00C929AE">
        <w:rPr>
          <w:rFonts w:ascii="Arial" w:hAnsi="Arial" w:cs="Arial"/>
          <w:sz w:val="20"/>
          <w:szCs w:val="20"/>
        </w:rPr>
        <w:t>: Enter the ratio of the amount not included in taxable income in the country where the counterparty is located among the total interest costs paid to the counterparty in relation to the hybrid financial product.</w:t>
      </w:r>
      <w:r>
        <w:rPr>
          <w:rFonts w:ascii="Arial" w:hAnsi="Arial" w:cs="Arial"/>
          <w:sz w:val="20"/>
          <w:szCs w:val="20"/>
        </w:rPr>
        <w:t xml:space="preserve"> </w:t>
      </w:r>
      <w:r w:rsidRPr="00C929AE">
        <w:rPr>
          <w:rFonts w:ascii="Arial" w:hAnsi="Arial" w:cs="Arial"/>
          <w:sz w:val="20"/>
          <w:szCs w:val="20"/>
        </w:rPr>
        <w:t>9.</w:t>
      </w:r>
      <w:r>
        <w:rPr>
          <w:rFonts w:ascii="Arial" w:hAnsi="Arial" w:cs="Arial"/>
          <w:sz w:val="20"/>
          <w:szCs w:val="20"/>
        </w:rPr>
        <w:t xml:space="preserve"> </w:t>
      </w:r>
      <w:r w:rsidRPr="00C929AE">
        <w:rPr>
          <w:rFonts w:ascii="Arial" w:hAnsi="Arial" w:cs="Arial"/>
          <w:sz w:val="20"/>
          <w:szCs w:val="20"/>
        </w:rPr>
        <w:t xml:space="preserve">9. </w:t>
      </w:r>
      <w:r w:rsidRPr="00C929AE">
        <w:rPr>
          <w:rFonts w:ascii="맑은 고딕" w:eastAsia="맑은 고딕" w:hAnsi="맑은 고딕" w:cs="맑은 고딕" w:hint="eastAsia"/>
          <w:sz w:val="20"/>
          <w:szCs w:val="20"/>
        </w:rPr>
        <w:t>⑫</w:t>
      </w:r>
      <w:r w:rsidRPr="00C929AE">
        <w:rPr>
          <w:rFonts w:ascii="Arial" w:hAnsi="Arial" w:cs="Arial"/>
          <w:sz w:val="20"/>
          <w:szCs w:val="20"/>
        </w:rPr>
        <w:t>: Enter interest payment conditions, repayment order, etc. when issuing the relevant hybrid financial product. 10.</w:t>
      </w:r>
      <w:r>
        <w:rPr>
          <w:rFonts w:ascii="Arial" w:hAnsi="Arial" w:cs="Arial"/>
          <w:sz w:val="20"/>
          <w:szCs w:val="20"/>
        </w:rPr>
        <w:t xml:space="preserve"> </w:t>
      </w:r>
      <w:r w:rsidRPr="00C929AE">
        <w:rPr>
          <w:rFonts w:ascii="Arial" w:hAnsi="Arial" w:cs="Arial"/>
          <w:sz w:val="20"/>
          <w:szCs w:val="20"/>
        </w:rPr>
        <w:t>“2. “Interest expenses to be included in income for the relevant business year” includes “1. In “Hybrid Financial Product Transaction Details,” write down the interest expenses included in gross income for the year in accordance with Article 25 (2) of the International Tax Adjustment Act.</w:t>
      </w:r>
      <w:r>
        <w:rPr>
          <w:rFonts w:ascii="Arial" w:hAnsi="Arial" w:cs="Arial"/>
          <w:sz w:val="20"/>
          <w:szCs w:val="20"/>
        </w:rPr>
        <w:t xml:space="preserve"> </w:t>
      </w:r>
      <w:r w:rsidRPr="00C929AE">
        <w:rPr>
          <w:rFonts w:ascii="Arial" w:hAnsi="Arial" w:cs="Arial"/>
          <w:sz w:val="20"/>
          <w:szCs w:val="20"/>
        </w:rPr>
        <w:t>11.</w:t>
      </w:r>
      <w:r>
        <w:rPr>
          <w:rFonts w:ascii="Arial" w:hAnsi="Arial" w:cs="Arial"/>
          <w:sz w:val="20"/>
          <w:szCs w:val="20"/>
        </w:rPr>
        <w:t xml:space="preserve"> </w:t>
      </w:r>
      <w:r w:rsidRPr="00C929AE">
        <w:rPr>
          <w:rFonts w:ascii="Arial" w:hAnsi="Arial" w:cs="Arial"/>
          <w:sz w:val="20"/>
          <w:szCs w:val="20"/>
        </w:rPr>
        <w:t xml:space="preserve">11. </w:t>
      </w:r>
      <w:r w:rsidRPr="00C929AE">
        <w:rPr>
          <w:rFonts w:ascii="맑은 고딕" w:eastAsia="맑은 고딕" w:hAnsi="맑은 고딕" w:cs="맑은 고딕" w:hint="eastAsia"/>
          <w:sz w:val="20"/>
          <w:szCs w:val="20"/>
        </w:rPr>
        <w:t>⑬</w:t>
      </w:r>
      <w:r w:rsidRPr="00C929AE">
        <w:rPr>
          <w:rFonts w:ascii="Arial" w:hAnsi="Arial" w:cs="Arial"/>
          <w:sz w:val="20"/>
          <w:szCs w:val="20"/>
        </w:rPr>
        <w:t>: Enter the appropriate period in accordance with Article 58 of the Enforcement Decree of the International Tax Adjustment Act. The business year in which the end date of this appropriate period falls is the relevant business year.</w:t>
      </w:r>
      <w:r>
        <w:rPr>
          <w:rFonts w:ascii="Arial" w:hAnsi="Arial" w:cs="Arial"/>
          <w:sz w:val="20"/>
          <w:szCs w:val="20"/>
        </w:rPr>
        <w:t xml:space="preserve"> </w:t>
      </w:r>
      <w:r w:rsidRPr="00C929AE">
        <w:rPr>
          <w:rFonts w:ascii="Arial" w:hAnsi="Arial" w:cs="Arial"/>
          <w:sz w:val="20"/>
          <w:szCs w:val="20"/>
        </w:rPr>
        <w:t>12.</w:t>
      </w:r>
      <w:r>
        <w:rPr>
          <w:rFonts w:ascii="Arial" w:hAnsi="Arial" w:cs="Arial"/>
          <w:sz w:val="20"/>
          <w:szCs w:val="20"/>
        </w:rPr>
        <w:t xml:space="preserve"> </w:t>
      </w:r>
      <w:r w:rsidRPr="00C929AE">
        <w:rPr>
          <w:rFonts w:ascii="Arial" w:hAnsi="Arial" w:cs="Arial"/>
          <w:sz w:val="20"/>
          <w:szCs w:val="20"/>
        </w:rPr>
        <w:t xml:space="preserve">12. </w:t>
      </w:r>
      <w:r w:rsidRPr="00C929AE">
        <w:rPr>
          <w:rFonts w:ascii="Cambria Math" w:hAnsi="Cambria Math" w:cs="Cambria Math"/>
          <w:sz w:val="20"/>
          <w:szCs w:val="20"/>
        </w:rPr>
        <w:t>⑱</w:t>
      </w:r>
      <w:r w:rsidRPr="00C929AE">
        <w:rPr>
          <w:rFonts w:ascii="Arial" w:hAnsi="Arial" w:cs="Arial"/>
          <w:sz w:val="20"/>
          <w:szCs w:val="20"/>
        </w:rPr>
        <w:t>: Enter the total interest expense paid to the relevant counterparty in relation to the hybrid financial product.</w:t>
      </w:r>
      <w:r>
        <w:rPr>
          <w:rFonts w:ascii="Arial" w:hAnsi="Arial" w:cs="Arial"/>
          <w:sz w:val="20"/>
          <w:szCs w:val="20"/>
        </w:rPr>
        <w:t xml:space="preserve"> </w:t>
      </w:r>
      <w:r w:rsidRPr="00C929AE">
        <w:rPr>
          <w:rFonts w:ascii="Arial" w:hAnsi="Arial" w:cs="Arial"/>
          <w:sz w:val="20"/>
          <w:szCs w:val="20"/>
        </w:rPr>
        <w:t>13.</w:t>
      </w:r>
      <w:r>
        <w:rPr>
          <w:rFonts w:ascii="Arial" w:hAnsi="Arial" w:cs="Arial"/>
          <w:sz w:val="20"/>
          <w:szCs w:val="20"/>
        </w:rPr>
        <w:t xml:space="preserve"> </w:t>
      </w:r>
      <w:r w:rsidRPr="00C929AE">
        <w:rPr>
          <w:rFonts w:ascii="Arial" w:hAnsi="Arial" w:cs="Arial"/>
          <w:sz w:val="20"/>
          <w:szCs w:val="20"/>
        </w:rPr>
        <w:t xml:space="preserve">13. </w:t>
      </w:r>
      <w:r w:rsidRPr="00C929AE">
        <w:rPr>
          <w:rFonts w:ascii="Arial" w:hAnsi="Arial" w:cs="Arial"/>
          <w:sz w:val="20"/>
          <w:szCs w:val="20"/>
        </w:rPr>
        <w:t>㉑</w:t>
      </w:r>
      <w:r w:rsidRPr="00C929AE">
        <w:rPr>
          <w:rFonts w:ascii="Arial" w:hAnsi="Arial" w:cs="Arial"/>
          <w:sz w:val="20"/>
          <w:szCs w:val="20"/>
        </w:rPr>
        <w:t xml:space="preserve">: In </w:t>
      </w:r>
      <w:r w:rsidRPr="00C929AE">
        <w:rPr>
          <w:rFonts w:ascii="Cambria Math" w:hAnsi="Cambria Math" w:cs="Cambria Math"/>
          <w:sz w:val="20"/>
          <w:szCs w:val="20"/>
        </w:rPr>
        <w:t>⑱</w:t>
      </w:r>
      <w:r w:rsidRPr="00C929AE">
        <w:rPr>
          <w:rFonts w:ascii="Arial" w:hAnsi="Arial" w:cs="Arial"/>
          <w:sz w:val="20"/>
          <w:szCs w:val="20"/>
        </w:rPr>
        <w:t>, first enter the interest expenses denied pursuant to Article 22 of the Act on the Adjustment of International Taxes or Article 24 of the same Act.</w:t>
      </w:r>
      <w:r>
        <w:rPr>
          <w:rFonts w:ascii="Arial" w:hAnsi="Arial" w:cs="Arial"/>
          <w:sz w:val="20"/>
          <w:szCs w:val="20"/>
        </w:rPr>
        <w:t xml:space="preserve"> </w:t>
      </w:r>
      <w:r w:rsidRPr="00C929AE">
        <w:rPr>
          <w:rFonts w:ascii="Arial" w:hAnsi="Arial" w:cs="Arial"/>
          <w:sz w:val="20"/>
          <w:szCs w:val="20"/>
        </w:rPr>
        <w:t>14.</w:t>
      </w:r>
      <w:r>
        <w:rPr>
          <w:rFonts w:ascii="Arial" w:hAnsi="Arial" w:cs="Arial"/>
          <w:sz w:val="20"/>
          <w:szCs w:val="20"/>
        </w:rPr>
        <w:t xml:space="preserve"> </w:t>
      </w:r>
      <w:r w:rsidRPr="00C929AE">
        <w:rPr>
          <w:rFonts w:ascii="Arial" w:hAnsi="Arial" w:cs="Arial"/>
          <w:sz w:val="20"/>
          <w:szCs w:val="20"/>
        </w:rPr>
        <w:t>㉓</w:t>
      </w:r>
      <w:r w:rsidRPr="00C929AE">
        <w:rPr>
          <w:rFonts w:ascii="Arial" w:hAnsi="Arial" w:cs="Arial"/>
          <w:sz w:val="20"/>
          <w:szCs w:val="20"/>
        </w:rPr>
        <w:t>: Enter the total amount included in gross income for the relevant business year.</w:t>
      </w:r>
      <w:r>
        <w:rPr>
          <w:rFonts w:ascii="Arial" w:hAnsi="Arial" w:cs="Arial"/>
          <w:sz w:val="20"/>
          <w:szCs w:val="20"/>
        </w:rPr>
        <w:t xml:space="preserve"> </w:t>
      </w:r>
      <w:r w:rsidRPr="00C929AE">
        <w:rPr>
          <w:rFonts w:ascii="Arial" w:hAnsi="Arial" w:cs="Arial"/>
          <w:sz w:val="20"/>
          <w:szCs w:val="20"/>
        </w:rPr>
        <w:t>210mm×297mm[white paper 80g/</w:t>
      </w:r>
      <w:r w:rsidRPr="00C929AE">
        <w:rPr>
          <w:rFonts w:ascii="Arial" w:hAnsi="Arial" w:cs="Arial"/>
          <w:sz w:val="20"/>
          <w:szCs w:val="20"/>
        </w:rPr>
        <w:t>㎡</w:t>
      </w:r>
      <w:r w:rsidRPr="00C929AE">
        <w:rPr>
          <w:rFonts w:ascii="Arial" w:hAnsi="Arial" w:cs="Arial"/>
          <w:sz w:val="20"/>
          <w:szCs w:val="20"/>
        </w:rPr>
        <w:t xml:space="preserve"> or coated paper 80g/</w:t>
      </w:r>
      <w:r w:rsidRPr="00C929AE">
        <w:rPr>
          <w:rFonts w:ascii="Arial" w:hAnsi="Arial" w:cs="Arial"/>
          <w:sz w:val="20"/>
          <w:szCs w:val="20"/>
        </w:rPr>
        <w:t>㎡</w:t>
      </w:r>
      <w:r w:rsidRPr="00C929AE">
        <w:rPr>
          <w:rFonts w:ascii="Arial" w:hAnsi="Arial" w:cs="Arial"/>
          <w:sz w:val="20"/>
          <w:szCs w:val="20"/>
        </w:rPr>
        <w:t>]</w:t>
      </w:r>
    </w:p>
    <w:sectPr w:rsidR="003C432E" w:rsidRPr="00C929A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컴돋움">
    <w:altName w:val="한컴돋움"/>
    <w:panose1 w:val="02030600000101010101"/>
    <w:charset w:val="81"/>
    <w:family w:val="roman"/>
    <w:pitch w:val="variable"/>
    <w:sig w:usb0="F7FFAFFF" w:usb1="FBDFFFFF" w:usb2="00FFFFFF" w:usb3="00000000" w:csb0="803F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9EE"/>
    <w:multiLevelType w:val="multilevel"/>
    <w:tmpl w:val="417479D6"/>
    <w:styleLink w:val="1"/>
    <w:lvl w:ilvl="0">
      <w:start w:val="1"/>
      <w:numFmt w:val="decimal"/>
      <w:lvlText w:val="%1."/>
      <w:lvlJc w:val="left"/>
      <w:pPr>
        <w:ind w:left="397" w:hanging="397"/>
      </w:pPr>
      <w:rPr>
        <w:rFonts w:hint="eastAsia"/>
      </w:rPr>
    </w:lvl>
    <w:lvl w:ilvl="1">
      <w:start w:val="1"/>
      <w:numFmt w:val="lowerRoman"/>
      <w:suff w:val="space"/>
      <w:lvlText w:val="%2."/>
      <w:lvlJc w:val="left"/>
      <w:pPr>
        <w:ind w:left="794" w:hanging="397"/>
      </w:pPr>
      <w:rPr>
        <w:rFonts w:hint="eastAsia"/>
      </w:rPr>
    </w:lvl>
    <w:lvl w:ilvl="2">
      <w:start w:val="1"/>
      <w:numFmt w:val="decimal"/>
      <w:suff w:val="space"/>
      <w:lvlText w:val="(%3)"/>
      <w:lvlJc w:val="left"/>
      <w:pPr>
        <w:ind w:left="1191" w:hanging="397"/>
      </w:pPr>
      <w:rPr>
        <w:rFonts w:hint="eastAsia"/>
      </w:rPr>
    </w:lvl>
    <w:lvl w:ilvl="3">
      <w:start w:val="1"/>
      <w:numFmt w:val="decimalEnclosedCircle"/>
      <w:suff w:val="space"/>
      <w:lvlText w:val="%4"/>
      <w:lvlJc w:val="left"/>
      <w:pPr>
        <w:ind w:left="1588" w:hanging="397"/>
      </w:pPr>
      <w:rPr>
        <w:rFonts w:hint="eastAsia"/>
      </w:rPr>
    </w:lvl>
    <w:lvl w:ilvl="4">
      <w:start w:val="1"/>
      <w:numFmt w:val="lowerLetter"/>
      <w:suff w:val="space"/>
      <w:lvlText w:val="%5."/>
      <w:lvlJc w:val="left"/>
      <w:pPr>
        <w:ind w:left="1985" w:hanging="397"/>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CE4901"/>
    <w:multiLevelType w:val="multilevel"/>
    <w:tmpl w:val="60F4F048"/>
    <w:styleLink w:val="ss"/>
    <w:lvl w:ilvl="0">
      <w:start w:val="1"/>
      <w:numFmt w:val="decimal"/>
      <w:lvlText w:val="%1."/>
      <w:lvlJc w:val="left"/>
      <w:pPr>
        <w:ind w:left="357" w:hanging="357"/>
      </w:pPr>
      <w:rPr>
        <w:rFonts w:hint="default"/>
      </w:rPr>
    </w:lvl>
    <w:lvl w:ilvl="1">
      <w:start w:val="1"/>
      <w:numFmt w:val="decimal"/>
      <w:lvlText w:val="%2."/>
      <w:lvlJc w:val="left"/>
      <w:pPr>
        <w:ind w:left="357" w:hanging="357"/>
      </w:pPr>
      <w:rPr>
        <w:rFonts w:asciiTheme="minorHAnsi" w:eastAsia="바탕" w:hAnsiTheme="minorHAnsi" w:cstheme="minorBidi" w:hint="eastAsia"/>
      </w:rPr>
    </w:lvl>
    <w:lvl w:ilvl="2">
      <w:start w:val="1"/>
      <w:numFmt w:val="decimal"/>
      <w:suff w:val="space"/>
      <w:lvlText w:val="(%3)"/>
      <w:lvlJc w:val="left"/>
      <w:pPr>
        <w:ind w:left="799" w:hanging="396"/>
      </w:pPr>
      <w:rPr>
        <w:rFonts w:hint="eastAsia"/>
      </w:rPr>
    </w:lvl>
    <w:lvl w:ilvl="3">
      <w:start w:val="1"/>
      <w:numFmt w:val="lowerRoman"/>
      <w:suff w:val="space"/>
      <w:lvlText w:val="%4."/>
      <w:lvlJc w:val="left"/>
      <w:pPr>
        <w:ind w:left="1202" w:hanging="403"/>
      </w:pPr>
      <w:rPr>
        <w:rFonts w:hint="default"/>
        <w:b w:val="0"/>
        <w:bCs w:val="0"/>
      </w:rPr>
    </w:lvl>
    <w:lvl w:ilvl="4">
      <w:start w:val="1"/>
      <w:numFmt w:val="decimal"/>
      <w:lvlText w:val="%5)"/>
      <w:lvlJc w:val="left"/>
      <w:pPr>
        <w:ind w:left="1559" w:hanging="357"/>
      </w:pPr>
      <w:rPr>
        <w:rFonts w:hint="default"/>
      </w:rPr>
    </w:lvl>
    <w:lvl w:ilvl="5">
      <w:start w:val="1"/>
      <w:numFmt w:val="upperLetter"/>
      <w:lvlText w:val="%6."/>
      <w:lvlJc w:val="left"/>
      <w:pPr>
        <w:ind w:left="1962" w:hanging="363"/>
      </w:pPr>
      <w:rPr>
        <w:rFonts w:hint="eastAsia"/>
      </w:rPr>
    </w:lvl>
    <w:lvl w:ilvl="6">
      <w:start w:val="1"/>
      <w:numFmt w:val="lowerRoman"/>
      <w:lvlText w:val="%7."/>
      <w:lvlJc w:val="right"/>
      <w:pPr>
        <w:ind w:left="2398" w:hanging="396"/>
      </w:pPr>
      <w:rPr>
        <w:rFonts w:hint="eastAsia"/>
      </w:rPr>
    </w:lvl>
    <w:lvl w:ilvl="7">
      <w:start w:val="1"/>
      <w:numFmt w:val="decimal"/>
      <w:lvlText w:val="%8."/>
      <w:lvlJc w:val="left"/>
      <w:pPr>
        <w:ind w:left="2801" w:hanging="403"/>
      </w:pPr>
      <w:rPr>
        <w:rFonts w:hint="eastAsia"/>
      </w:rPr>
    </w:lvl>
    <w:lvl w:ilvl="8">
      <w:start w:val="1"/>
      <w:numFmt w:val="lowerRoman"/>
      <w:lvlText w:val="%9."/>
      <w:lvlJc w:val="right"/>
      <w:pPr>
        <w:ind w:left="4399" w:hanging="400"/>
      </w:pPr>
      <w:rPr>
        <w:rFonts w:hint="eastAsia"/>
      </w:rPr>
    </w:lvl>
  </w:abstractNum>
  <w:abstractNum w:abstractNumId="2" w15:restartNumberingAfterBreak="0">
    <w:nsid w:val="1FAC4F7F"/>
    <w:multiLevelType w:val="multilevel"/>
    <w:tmpl w:val="A58A0F22"/>
    <w:styleLink w:val="a"/>
    <w:lvl w:ilvl="0">
      <w:start w:val="1"/>
      <w:numFmt w:val="decimal"/>
      <w:lvlText w:val="%1."/>
      <w:lvlJc w:val="left"/>
      <w:pPr>
        <w:ind w:left="800" w:hanging="360"/>
      </w:pPr>
      <w:rPr>
        <w:rFonts w:hint="default"/>
      </w:rPr>
    </w:lvl>
    <w:lvl w:ilvl="1">
      <w:start w:val="1"/>
      <w:numFmt w:val="upperLetter"/>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upp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upperLetter"/>
      <w:lvlText w:val="%8."/>
      <w:lvlJc w:val="left"/>
      <w:pPr>
        <w:ind w:left="3960" w:hanging="440"/>
      </w:pPr>
    </w:lvl>
    <w:lvl w:ilvl="8">
      <w:start w:val="1"/>
      <w:numFmt w:val="lowerRoman"/>
      <w:lvlText w:val="%9."/>
      <w:lvlJc w:val="right"/>
      <w:pPr>
        <w:ind w:left="4400" w:hanging="440"/>
      </w:pPr>
    </w:lvl>
  </w:abstractNum>
  <w:abstractNum w:abstractNumId="3" w15:restartNumberingAfterBreak="0">
    <w:nsid w:val="53871C4E"/>
    <w:multiLevelType w:val="hybridMultilevel"/>
    <w:tmpl w:val="32E61AFE"/>
    <w:lvl w:ilvl="0" w:tplc="E2186150">
      <w:start w:val="1"/>
      <w:numFmt w:val="decimal"/>
      <w:lvlText w:val="%1."/>
      <w:lvlJc w:val="left"/>
      <w:pPr>
        <w:ind w:left="1689" w:hanging="216"/>
        <w:jc w:val="left"/>
      </w:pPr>
      <w:rPr>
        <w:rFonts w:ascii="한컴돋움" w:eastAsia="한컴돋움" w:hAnsi="한컴돋움" w:cs="한컴돋움" w:hint="default"/>
        <w:b w:val="0"/>
        <w:bCs w:val="0"/>
        <w:i w:val="0"/>
        <w:iCs w:val="0"/>
        <w:spacing w:val="-6"/>
        <w:w w:val="80"/>
        <w:sz w:val="18"/>
        <w:szCs w:val="18"/>
        <w:lang w:val="vi" w:eastAsia="en-US" w:bidi="ar-SA"/>
      </w:rPr>
    </w:lvl>
    <w:lvl w:ilvl="1" w:tplc="B9FC75BE">
      <w:numFmt w:val="bullet"/>
      <w:lvlText w:val="•"/>
      <w:lvlJc w:val="left"/>
      <w:pPr>
        <w:ind w:left="2577" w:hanging="216"/>
      </w:pPr>
      <w:rPr>
        <w:rFonts w:hint="default"/>
        <w:lang w:val="vi" w:eastAsia="en-US" w:bidi="ar-SA"/>
      </w:rPr>
    </w:lvl>
    <w:lvl w:ilvl="2" w:tplc="5CE8C05E">
      <w:numFmt w:val="bullet"/>
      <w:lvlText w:val="•"/>
      <w:lvlJc w:val="left"/>
      <w:pPr>
        <w:ind w:left="3475" w:hanging="216"/>
      </w:pPr>
      <w:rPr>
        <w:rFonts w:hint="default"/>
        <w:lang w:val="vi" w:eastAsia="en-US" w:bidi="ar-SA"/>
      </w:rPr>
    </w:lvl>
    <w:lvl w:ilvl="3" w:tplc="7A36EC70">
      <w:numFmt w:val="bullet"/>
      <w:lvlText w:val="•"/>
      <w:lvlJc w:val="left"/>
      <w:pPr>
        <w:ind w:left="4373" w:hanging="216"/>
      </w:pPr>
      <w:rPr>
        <w:rFonts w:hint="default"/>
        <w:lang w:val="vi" w:eastAsia="en-US" w:bidi="ar-SA"/>
      </w:rPr>
    </w:lvl>
    <w:lvl w:ilvl="4" w:tplc="2E16547E">
      <w:numFmt w:val="bullet"/>
      <w:lvlText w:val="•"/>
      <w:lvlJc w:val="left"/>
      <w:pPr>
        <w:ind w:left="5271" w:hanging="216"/>
      </w:pPr>
      <w:rPr>
        <w:rFonts w:hint="default"/>
        <w:lang w:val="vi" w:eastAsia="en-US" w:bidi="ar-SA"/>
      </w:rPr>
    </w:lvl>
    <w:lvl w:ilvl="5" w:tplc="C11CD474">
      <w:numFmt w:val="bullet"/>
      <w:lvlText w:val="•"/>
      <w:lvlJc w:val="left"/>
      <w:pPr>
        <w:ind w:left="6169" w:hanging="216"/>
      </w:pPr>
      <w:rPr>
        <w:rFonts w:hint="default"/>
        <w:lang w:val="vi" w:eastAsia="en-US" w:bidi="ar-SA"/>
      </w:rPr>
    </w:lvl>
    <w:lvl w:ilvl="6" w:tplc="17FA4A6C">
      <w:numFmt w:val="bullet"/>
      <w:lvlText w:val="•"/>
      <w:lvlJc w:val="left"/>
      <w:pPr>
        <w:ind w:left="7067" w:hanging="216"/>
      </w:pPr>
      <w:rPr>
        <w:rFonts w:hint="default"/>
        <w:lang w:val="vi" w:eastAsia="en-US" w:bidi="ar-SA"/>
      </w:rPr>
    </w:lvl>
    <w:lvl w:ilvl="7" w:tplc="682CDF1E">
      <w:numFmt w:val="bullet"/>
      <w:lvlText w:val="•"/>
      <w:lvlJc w:val="left"/>
      <w:pPr>
        <w:ind w:left="7965" w:hanging="216"/>
      </w:pPr>
      <w:rPr>
        <w:rFonts w:hint="default"/>
        <w:lang w:val="vi" w:eastAsia="en-US" w:bidi="ar-SA"/>
      </w:rPr>
    </w:lvl>
    <w:lvl w:ilvl="8" w:tplc="03B0EADC">
      <w:numFmt w:val="bullet"/>
      <w:lvlText w:val="•"/>
      <w:lvlJc w:val="left"/>
      <w:pPr>
        <w:ind w:left="8863" w:hanging="216"/>
      </w:pPr>
      <w:rPr>
        <w:rFonts w:hint="default"/>
        <w:lang w:val="vi" w:eastAsia="en-US" w:bidi="ar-SA"/>
      </w:rPr>
    </w:lvl>
  </w:abstractNum>
  <w:num w:numId="1" w16cid:durableId="816262694">
    <w:abstractNumId w:val="1"/>
  </w:num>
  <w:num w:numId="2" w16cid:durableId="696541234">
    <w:abstractNumId w:val="1"/>
  </w:num>
  <w:num w:numId="3" w16cid:durableId="1820804146">
    <w:abstractNumId w:val="1"/>
  </w:num>
  <w:num w:numId="4" w16cid:durableId="2018457640">
    <w:abstractNumId w:val="1"/>
  </w:num>
  <w:num w:numId="5" w16cid:durableId="1313019655">
    <w:abstractNumId w:val="0"/>
  </w:num>
  <w:num w:numId="6" w16cid:durableId="1173034868">
    <w:abstractNumId w:val="2"/>
  </w:num>
  <w:num w:numId="7" w16cid:durableId="208686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917"/>
    <w:rsid w:val="00015673"/>
    <w:rsid w:val="00227AC3"/>
    <w:rsid w:val="00286917"/>
    <w:rsid w:val="003C432E"/>
    <w:rsid w:val="00512FF6"/>
    <w:rsid w:val="009E5637"/>
    <w:rsid w:val="00C929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1EC3"/>
  <w15:chartTrackingRefBased/>
  <w15:docId w15:val="{C4181CCD-347A-4546-8F05-C08841BC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86917"/>
    <w:pPr>
      <w:widowControl w:val="0"/>
      <w:autoSpaceDE w:val="0"/>
      <w:autoSpaceDN w:val="0"/>
      <w:spacing w:after="0" w:line="240" w:lineRule="auto"/>
      <w:jc w:val="left"/>
    </w:pPr>
    <w:rPr>
      <w:rFonts w:ascii="한컴돋움" w:eastAsia="한컴돋움" w:hAnsi="한컴돋움" w:cs="한컴돋움"/>
      <w:kern w:val="0"/>
      <w:sz w:val="22"/>
      <w:lang w:val="vi"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s">
    <w:name w:val="ss"/>
    <w:uiPriority w:val="99"/>
    <w:rsid w:val="00512FF6"/>
    <w:pPr>
      <w:numPr>
        <w:numId w:val="1"/>
      </w:numPr>
    </w:pPr>
  </w:style>
  <w:style w:type="numbering" w:customStyle="1" w:styleId="1">
    <w:name w:val="스타일1"/>
    <w:uiPriority w:val="99"/>
    <w:rsid w:val="009E5637"/>
    <w:pPr>
      <w:numPr>
        <w:numId w:val="5"/>
      </w:numPr>
    </w:pPr>
  </w:style>
  <w:style w:type="numbering" w:customStyle="1" w:styleId="a">
    <w:name w:val="데이터편집"/>
    <w:uiPriority w:val="99"/>
    <w:rsid w:val="00015673"/>
    <w:pPr>
      <w:numPr>
        <w:numId w:val="6"/>
      </w:numPr>
    </w:pPr>
  </w:style>
  <w:style w:type="paragraph" w:styleId="a4">
    <w:name w:val="Body Text"/>
    <w:basedOn w:val="a0"/>
    <w:link w:val="Char"/>
    <w:uiPriority w:val="1"/>
    <w:qFormat/>
    <w:rsid w:val="00286917"/>
  </w:style>
  <w:style w:type="character" w:customStyle="1" w:styleId="Char">
    <w:name w:val="본문 Char"/>
    <w:basedOn w:val="a1"/>
    <w:link w:val="a4"/>
    <w:uiPriority w:val="1"/>
    <w:rsid w:val="00286917"/>
    <w:rPr>
      <w:rFonts w:ascii="한컴돋움" w:eastAsia="한컴돋움" w:hAnsi="한컴돋움" w:cs="한컴돋움"/>
      <w:kern w:val="0"/>
      <w:sz w:val="22"/>
      <w:lang w:val="vi" w:eastAsia="en-US"/>
    </w:rPr>
  </w:style>
  <w:style w:type="paragraph" w:styleId="a5">
    <w:name w:val="List Paragraph"/>
    <w:basedOn w:val="a0"/>
    <w:uiPriority w:val="1"/>
    <w:qFormat/>
    <w:rsid w:val="00286917"/>
    <w:pPr>
      <w:ind w:left="1835" w:hanging="27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529</Words>
  <Characters>3020</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daewon yeo</dc:creator>
  <cp:keywords/>
  <dc:description/>
  <cp:lastModifiedBy>daewon yeo</cp:lastModifiedBy>
  <cp:revision>2</cp:revision>
  <dcterms:created xsi:type="dcterms:W3CDTF">2023-10-15T12:06:00Z</dcterms:created>
  <dcterms:modified xsi:type="dcterms:W3CDTF">2023-10-15T12:18:00Z</dcterms:modified>
</cp:coreProperties>
</file>