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92B8" w14:textId="65EB8351" w:rsidR="009317EE" w:rsidRDefault="00A2615B">
      <w:proofErr w:type="spellStart"/>
      <w:r>
        <w:t>세후영업이익</w:t>
      </w:r>
      <w:proofErr w:type="spellEnd"/>
      <w:r>
        <w:t xml:space="preserve"> × [특수관계법인과의 거래비율 - 5%(20%, 50%)] × [주식보유비율 - 0</w:t>
      </w:r>
      <w:proofErr w:type="gramStart"/>
      <w:r>
        <w:t>%( 5</w:t>
      </w:r>
      <w:proofErr w:type="gramEnd"/>
      <w:r>
        <w:t>%, 10%)]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B"/>
    <w:rsid w:val="009317EE"/>
    <w:rsid w:val="00A2615B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6160"/>
  <w15:chartTrackingRefBased/>
  <w15:docId w15:val="{69667349-1694-41F0-A453-B2C5D786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2023-09-27T17:18:00Z</dcterms:created>
  <dcterms:modified xsi:type="dcterms:W3CDTF">2023-09-27T17:18:00Z</dcterms:modified>
</cp:coreProperties>
</file>