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0F8A" w14:textId="457D8D7D" w:rsidR="003C432E" w:rsidRPr="00E718B4" w:rsidRDefault="00E718B4" w:rsidP="00F37DB6">
      <w:pPr>
        <w:spacing w:before="100" w:beforeAutospacing="1"/>
        <w:rPr>
          <w:rFonts w:ascii="Arial" w:hAnsi="Arial" w:cs="Arial"/>
          <w:sz w:val="20"/>
          <w:szCs w:val="20"/>
        </w:rPr>
      </w:pPr>
      <w:r w:rsidRPr="00E718B4">
        <w:rPr>
          <w:rFonts w:ascii="Arial" w:hAnsi="Arial" w:cs="Arial"/>
          <w:sz w:val="20"/>
          <w:szCs w:val="20"/>
        </w:rPr>
        <w:t></w:t>
      </w:r>
      <w:r>
        <w:rPr>
          <w:rFonts w:ascii="Arial" w:hAnsi="Arial" w:cs="Arial"/>
          <w:sz w:val="20"/>
          <w:szCs w:val="20"/>
        </w:rPr>
        <w:t xml:space="preserve"> </w:t>
      </w:r>
      <w:r w:rsidRPr="00E718B4">
        <w:rPr>
          <w:rFonts w:ascii="Arial" w:hAnsi="Arial" w:cs="Arial"/>
          <w:sz w:val="20"/>
          <w:szCs w:val="20"/>
        </w:rPr>
        <w:t>Enforcement Regulations of the Corporate Tax Act [Attachment No. 15 Annex 1] &lt;Amendment March 14, 2014&gt;</w:t>
      </w:r>
      <w:r>
        <w:rPr>
          <w:rFonts w:ascii="Arial" w:hAnsi="Arial" w:cs="Arial"/>
          <w:sz w:val="20"/>
          <w:szCs w:val="20"/>
        </w:rPr>
        <w:t xml:space="preserve"> </w:t>
      </w:r>
      <w:r w:rsidRPr="00E718B4">
        <w:rPr>
          <w:rFonts w:ascii="Arial" w:hAnsi="Arial" w:cs="Arial"/>
          <w:sz w:val="20"/>
          <w:szCs w:val="20"/>
        </w:rPr>
        <w:t>(Front)</w:t>
      </w:r>
      <w:r>
        <w:rPr>
          <w:rFonts w:ascii="Arial" w:hAnsi="Arial" w:cs="Arial"/>
          <w:sz w:val="20"/>
          <w:szCs w:val="20"/>
        </w:rPr>
        <w:t xml:space="preserve"> </w:t>
      </w:r>
      <w:r w:rsidRPr="00E718B4">
        <w:rPr>
          <w:rFonts w:ascii="Arial" w:hAnsi="Arial" w:cs="Arial"/>
          <w:sz w:val="20"/>
          <w:szCs w:val="20"/>
        </w:rPr>
        <w:t>Business Year</w:t>
      </w:r>
      <w:r>
        <w:rPr>
          <w:rFonts w:ascii="Arial" w:hAnsi="Arial" w:cs="Arial"/>
          <w:sz w:val="20"/>
          <w:szCs w:val="20"/>
        </w:rPr>
        <w:t xml:space="preserve"> </w:t>
      </w:r>
      <w:r w:rsidRPr="00E718B4">
        <w:rPr>
          <w:rFonts w:ascii="Arial" w:hAnsi="Arial" w:cs="Arial"/>
          <w:sz w:val="20"/>
          <w:szCs w:val="20"/>
        </w:rPr>
        <w:t>.</w:t>
      </w:r>
      <w:r>
        <w:rPr>
          <w:rFonts w:ascii="Arial" w:hAnsi="Arial" w:cs="Arial"/>
          <w:sz w:val="20"/>
          <w:szCs w:val="20"/>
        </w:rPr>
        <w:t xml:space="preserve"> </w:t>
      </w:r>
      <w:r w:rsidRPr="00E718B4">
        <w:rPr>
          <w:rFonts w:ascii="Arial" w:hAnsi="Arial" w:cs="Arial"/>
          <w:sz w:val="20"/>
          <w:szCs w:val="20"/>
        </w:rPr>
        <w:t>.</w:t>
      </w:r>
      <w:r>
        <w:rPr>
          <w:rFonts w:ascii="Arial" w:hAnsi="Arial" w:cs="Arial"/>
          <w:sz w:val="20"/>
          <w:szCs w:val="20"/>
        </w:rPr>
        <w:t xml:space="preserve"> </w:t>
      </w:r>
      <w:r w:rsidRPr="00E718B4">
        <w:rPr>
          <w:rFonts w:ascii="Arial" w:hAnsi="Arial" w:cs="Arial"/>
          <w:sz w:val="20"/>
          <w:szCs w:val="20"/>
        </w:rPr>
        <w:t>~</w:t>
      </w:r>
      <w:r>
        <w:rPr>
          <w:rFonts w:ascii="Arial" w:hAnsi="Arial" w:cs="Arial"/>
          <w:sz w:val="20"/>
          <w:szCs w:val="20"/>
        </w:rPr>
        <w:t xml:space="preserve"> </w:t>
      </w:r>
      <w:r w:rsidRPr="00E718B4">
        <w:rPr>
          <w:rFonts w:ascii="Arial" w:hAnsi="Arial" w:cs="Arial"/>
          <w:sz w:val="20"/>
          <w:szCs w:val="20"/>
        </w:rPr>
        <w:t>.</w:t>
      </w:r>
      <w:r>
        <w:rPr>
          <w:rFonts w:ascii="Arial" w:hAnsi="Arial" w:cs="Arial"/>
          <w:sz w:val="20"/>
          <w:szCs w:val="20"/>
        </w:rPr>
        <w:t xml:space="preserve"> </w:t>
      </w:r>
      <w:r w:rsidRPr="00E718B4">
        <w:rPr>
          <w:rFonts w:ascii="Arial" w:hAnsi="Arial" w:cs="Arial"/>
          <w:sz w:val="20"/>
          <w:szCs w:val="20"/>
        </w:rPr>
        <w:t>.</w:t>
      </w:r>
      <w:r>
        <w:rPr>
          <w:rFonts w:ascii="Arial" w:hAnsi="Arial" w:cs="Arial"/>
          <w:sz w:val="20"/>
          <w:szCs w:val="20"/>
        </w:rPr>
        <w:t xml:space="preserve"> </w:t>
      </w:r>
      <w:r w:rsidRPr="00E718B4">
        <w:rPr>
          <w:rFonts w:ascii="Arial" w:hAnsi="Arial" w:cs="Arial"/>
          <w:sz w:val="20"/>
          <w:szCs w:val="20"/>
        </w:rPr>
        <w:t>Statement of adjustment of income amount for each subject (1)</w:t>
      </w:r>
      <w:r>
        <w:rPr>
          <w:rFonts w:ascii="Arial" w:hAnsi="Arial" w:cs="Arial"/>
          <w:sz w:val="20"/>
          <w:szCs w:val="20"/>
        </w:rPr>
        <w:t xml:space="preserve"> </w:t>
      </w:r>
      <w:r w:rsidRPr="00E718B4">
        <w:rPr>
          <w:rFonts w:ascii="Arial" w:hAnsi="Arial" w:cs="Arial"/>
          <w:sz w:val="20"/>
          <w:szCs w:val="20"/>
        </w:rPr>
        <w:t>Corporate name</w:t>
      </w:r>
      <w:r>
        <w:rPr>
          <w:rFonts w:ascii="Arial" w:hAnsi="Arial" w:cs="Arial"/>
          <w:sz w:val="20"/>
          <w:szCs w:val="20"/>
        </w:rPr>
        <w:t xml:space="preserve"> </w:t>
      </w:r>
      <w:r w:rsidRPr="00E718B4">
        <w:rPr>
          <w:rFonts w:ascii="Arial" w:hAnsi="Arial" w:cs="Arial"/>
          <w:sz w:val="20"/>
          <w:szCs w:val="20"/>
        </w:rPr>
        <w:t>Business registration number .</w:t>
      </w:r>
      <w:r>
        <w:rPr>
          <w:rFonts w:ascii="Arial" w:hAnsi="Arial" w:cs="Arial"/>
          <w:sz w:val="20"/>
          <w:szCs w:val="20"/>
        </w:rPr>
        <w:t xml:space="preserve"> </w:t>
      </w:r>
      <w:r w:rsidRPr="00E718B4">
        <w:rPr>
          <w:rFonts w:ascii="Arial" w:hAnsi="Arial" w:cs="Arial"/>
          <w:sz w:val="20"/>
          <w:szCs w:val="20"/>
        </w:rPr>
        <w:t>.</w:t>
      </w:r>
      <w:r>
        <w:rPr>
          <w:rFonts w:ascii="Arial" w:hAnsi="Arial" w:cs="Arial"/>
          <w:sz w:val="20"/>
          <w:szCs w:val="20"/>
        </w:rPr>
        <w:t xml:space="preserve"> </w:t>
      </w:r>
      <w:r w:rsidRPr="00E718B4">
        <w:rPr>
          <w:rFonts w:ascii="Arial" w:hAnsi="Arial" w:cs="Arial"/>
          <w:sz w:val="20"/>
          <w:szCs w:val="20"/>
        </w:rPr>
        <w:t>1. Inclusion in gross income and exclusion in deductibles</w:t>
      </w:r>
      <w:r>
        <w:rPr>
          <w:rFonts w:ascii="Arial" w:hAnsi="Arial" w:cs="Arial"/>
          <w:sz w:val="20"/>
          <w:szCs w:val="20"/>
        </w:rPr>
        <w:t xml:space="preserve"> </w:t>
      </w:r>
      <w:r w:rsidRPr="00E718B4">
        <w:rPr>
          <w:rFonts w:ascii="맑은 고딕" w:eastAsia="맑은 고딕" w:hAnsi="맑은 고딕" w:cs="맑은 고딕" w:hint="eastAsia"/>
          <w:sz w:val="20"/>
          <w:szCs w:val="20"/>
        </w:rPr>
        <w:t>①</w:t>
      </w:r>
      <w:r w:rsidRPr="00E718B4">
        <w:rPr>
          <w:rFonts w:ascii="Arial" w:hAnsi="Arial" w:cs="Arial"/>
          <w:sz w:val="20"/>
          <w:szCs w:val="20"/>
        </w:rPr>
        <w:t xml:space="preserve"> Subject</w:t>
      </w:r>
      <w:r>
        <w:rPr>
          <w:rFonts w:ascii="Arial" w:hAnsi="Arial" w:cs="Arial"/>
          <w:sz w:val="20"/>
          <w:szCs w:val="20"/>
        </w:rPr>
        <w:t xml:space="preserve"> </w:t>
      </w:r>
      <w:r w:rsidRPr="00E718B4">
        <w:rPr>
          <w:rFonts w:ascii="맑은 고딕" w:eastAsia="맑은 고딕" w:hAnsi="맑은 고딕" w:cs="맑은 고딕" w:hint="eastAsia"/>
          <w:sz w:val="20"/>
          <w:szCs w:val="20"/>
        </w:rPr>
        <w:t>②</w:t>
      </w:r>
      <w:r w:rsidRPr="00E718B4">
        <w:rPr>
          <w:rFonts w:ascii="Arial" w:hAnsi="Arial" w:cs="Arial"/>
          <w:sz w:val="20"/>
          <w:szCs w:val="20"/>
        </w:rPr>
        <w:t xml:space="preserve"> Amount</w:t>
      </w:r>
      <w:r>
        <w:rPr>
          <w:rFonts w:ascii="Arial" w:hAnsi="Arial" w:cs="Arial"/>
          <w:sz w:val="20"/>
          <w:szCs w:val="20"/>
        </w:rPr>
        <w:t xml:space="preserve"> </w:t>
      </w:r>
      <w:r w:rsidRPr="00E718B4">
        <w:rPr>
          <w:rFonts w:ascii="맑은 고딕" w:eastAsia="맑은 고딕" w:hAnsi="맑은 고딕" w:cs="맑은 고딕" w:hint="eastAsia"/>
          <w:sz w:val="20"/>
          <w:szCs w:val="20"/>
        </w:rPr>
        <w:t>③</w:t>
      </w:r>
      <w:r w:rsidRPr="00E718B4">
        <w:rPr>
          <w:rFonts w:ascii="Arial" w:hAnsi="Arial" w:cs="Arial"/>
          <w:sz w:val="20"/>
          <w:szCs w:val="20"/>
        </w:rPr>
        <w:t xml:space="preserve"> Operating profit and loss adjustment amount</w:t>
      </w:r>
      <w:r>
        <w:rPr>
          <w:rFonts w:ascii="Arial" w:hAnsi="Arial" w:cs="Arial"/>
          <w:sz w:val="20"/>
          <w:szCs w:val="20"/>
        </w:rPr>
        <w:t xml:space="preserve"> </w:t>
      </w:r>
      <w:r w:rsidRPr="00E718B4">
        <w:rPr>
          <w:rFonts w:ascii="맑은 고딕" w:eastAsia="맑은 고딕" w:hAnsi="맑은 고딕" w:cs="맑은 고딕" w:hint="eastAsia"/>
          <w:sz w:val="20"/>
          <w:szCs w:val="20"/>
        </w:rPr>
        <w:t>④</w:t>
      </w:r>
      <w:r w:rsidRPr="00E718B4">
        <w:rPr>
          <w:rFonts w:ascii="Arial" w:hAnsi="Arial" w:cs="Arial"/>
          <w:sz w:val="20"/>
          <w:szCs w:val="20"/>
        </w:rPr>
        <w:t xml:space="preserve"> Disposal</w:t>
      </w:r>
      <w:r w:rsidRPr="00E718B4">
        <w:rPr>
          <w:rFonts w:ascii="Arial" w:hAnsi="Arial" w:cs="Arial"/>
          <w:sz w:val="20"/>
          <w:szCs w:val="20"/>
        </w:rPr>
        <w:tab/>
      </w:r>
      <w:r w:rsidRPr="00E718B4">
        <w:rPr>
          <w:rFonts w:ascii="맑은 고딕" w:eastAsia="맑은 고딕" w:hAnsi="맑은 고딕" w:cs="맑은 고딕" w:hint="eastAsia"/>
          <w:sz w:val="20"/>
          <w:szCs w:val="20"/>
        </w:rPr>
        <w:t>⑤</w:t>
      </w:r>
      <w:r w:rsidRPr="00E718B4">
        <w:rPr>
          <w:rFonts w:ascii="Arial" w:hAnsi="Arial" w:cs="Arial"/>
          <w:sz w:val="20"/>
          <w:szCs w:val="20"/>
        </w:rPr>
        <w:t xml:space="preserve"> Adjustment details</w:t>
      </w:r>
      <w:r>
        <w:rPr>
          <w:rFonts w:ascii="Arial" w:hAnsi="Arial" w:cs="Arial"/>
          <w:sz w:val="20"/>
          <w:szCs w:val="20"/>
        </w:rPr>
        <w:t xml:space="preserve"> </w:t>
      </w:r>
      <w:r w:rsidRPr="00E718B4">
        <w:rPr>
          <w:rFonts w:ascii="Arial" w:hAnsi="Arial" w:cs="Arial"/>
          <w:sz w:val="20"/>
          <w:szCs w:val="20"/>
        </w:rPr>
        <w:t>Total</w:t>
      </w:r>
      <w:r>
        <w:rPr>
          <w:rFonts w:ascii="Arial" w:hAnsi="Arial" w:cs="Arial"/>
          <w:sz w:val="20"/>
          <w:szCs w:val="20"/>
        </w:rPr>
        <w:t xml:space="preserve"> </w:t>
      </w:r>
      <w:r w:rsidRPr="00E718B4">
        <w:rPr>
          <w:rFonts w:ascii="맑은 고딕" w:eastAsia="맑은 고딕" w:hAnsi="맑은 고딕" w:cs="맑은 고딕" w:hint="eastAsia"/>
          <w:sz w:val="20"/>
          <w:szCs w:val="20"/>
        </w:rPr>
        <w:t>③</w:t>
      </w:r>
      <w:r w:rsidRPr="00E718B4">
        <w:rPr>
          <w:rFonts w:ascii="Arial" w:hAnsi="Arial" w:cs="Arial"/>
          <w:sz w:val="20"/>
          <w:szCs w:val="20"/>
        </w:rPr>
        <w:t xml:space="preserve"> The operating profit and loss adjustment amount column refers to matters related to the calculation of gift profits through transactions with specially related corporations under the Inheritance Tax and Gift Tax Act. </w:t>
      </w:r>
      <w:r w:rsidRPr="00E718B4">
        <w:rPr>
          <w:rFonts w:ascii="맑은 고딕" w:eastAsia="맑은 고딕" w:hAnsi="맑은 고딕" w:cs="맑은 고딕" w:hint="eastAsia"/>
          <w:sz w:val="20"/>
          <w:szCs w:val="20"/>
        </w:rPr>
        <w:t>②</w:t>
      </w:r>
      <w:r w:rsidRPr="00E718B4">
        <w:rPr>
          <w:rFonts w:ascii="Arial" w:hAnsi="Arial" w:cs="Arial"/>
          <w:sz w:val="20"/>
          <w:szCs w:val="20"/>
        </w:rPr>
        <w:t xml:space="preserve"> Among the amounts corresponding to the amount column, any of the tax adjustment matters that fall under any of the following items Enter only the tax adjustment amount related to operating profit or loss separately. In this case, be sure to write the total amount at the bottom. but,</w:t>
      </w:r>
      <w:r>
        <w:rPr>
          <w:rFonts w:ascii="Arial" w:hAnsi="Arial" w:cs="Arial"/>
          <w:sz w:val="20"/>
          <w:szCs w:val="20"/>
        </w:rPr>
        <w:t xml:space="preserve"> </w:t>
      </w:r>
      <w:r w:rsidRPr="00E718B4">
        <w:rPr>
          <w:rFonts w:ascii="Arial" w:hAnsi="Arial" w:cs="Arial"/>
          <w:sz w:val="20"/>
          <w:szCs w:val="20"/>
        </w:rPr>
        <w:t xml:space="preserve">If it is not a beneficiary corporation under Article 45-3, Paragraph 1 of the Inheritance Tax and Gift Tax Act, </w:t>
      </w:r>
      <w:r w:rsidRPr="00E718B4">
        <w:rPr>
          <w:rFonts w:ascii="맑은 고딕" w:eastAsia="맑은 고딕" w:hAnsi="맑은 고딕" w:cs="맑은 고딕" w:hint="eastAsia"/>
          <w:sz w:val="20"/>
          <w:szCs w:val="20"/>
        </w:rPr>
        <w:t>③</w:t>
      </w:r>
      <w:r w:rsidRPr="00E718B4">
        <w:rPr>
          <w:rFonts w:ascii="Arial" w:hAnsi="Arial" w:cs="Arial"/>
          <w:sz w:val="20"/>
          <w:szCs w:val="20"/>
        </w:rPr>
        <w:t xml:space="preserve"> the operating profit and loss adjustment amount does not need to be small.</w:t>
      </w:r>
      <w:r>
        <w:rPr>
          <w:rFonts w:ascii="Arial" w:hAnsi="Arial" w:cs="Arial"/>
          <w:sz w:val="20"/>
          <w:szCs w:val="20"/>
        </w:rPr>
        <w:t xml:space="preserve"> </w:t>
      </w:r>
      <w:r w:rsidRPr="00E718B4">
        <w:rPr>
          <w:rFonts w:ascii="Arial" w:hAnsi="Arial" w:cs="Arial"/>
          <w:sz w:val="20"/>
          <w:szCs w:val="20"/>
        </w:rPr>
        <w:t>A. Depreciation expense not included in deductible expenses pursuant to Article 23 of the Corporate Tax Act</w:t>
      </w:r>
      <w:r>
        <w:rPr>
          <w:rFonts w:ascii="Arial" w:hAnsi="Arial" w:cs="Arial"/>
          <w:sz w:val="20"/>
          <w:szCs w:val="20"/>
        </w:rPr>
        <w:t xml:space="preserve"> </w:t>
      </w:r>
      <w:r w:rsidRPr="00E718B4">
        <w:rPr>
          <w:rFonts w:ascii="Arial" w:hAnsi="Arial" w:cs="Arial"/>
          <w:sz w:val="20"/>
          <w:szCs w:val="20"/>
        </w:rPr>
        <w:t>B. Inclusion of retirement benefit reserves in deductible expenses pursuant to Article 33 of the Corporate Tax Act</w:t>
      </w:r>
      <w:r>
        <w:rPr>
          <w:rFonts w:ascii="Arial" w:hAnsi="Arial" w:cs="Arial"/>
          <w:sz w:val="20"/>
          <w:szCs w:val="20"/>
        </w:rPr>
        <w:t xml:space="preserve"> </w:t>
      </w:r>
      <w:r w:rsidRPr="00E718B4">
        <w:rPr>
          <w:rFonts w:ascii="Arial" w:hAnsi="Arial" w:cs="Arial"/>
          <w:sz w:val="20"/>
          <w:szCs w:val="20"/>
        </w:rPr>
        <w:t>C. Inclusion of allowance for loan losses in deductible expenses pursuant to Article 34 of the Corporate Tax Act</w:t>
      </w:r>
      <w:r>
        <w:rPr>
          <w:rFonts w:ascii="Arial" w:hAnsi="Arial" w:cs="Arial"/>
          <w:sz w:val="20"/>
          <w:szCs w:val="20"/>
        </w:rPr>
        <w:t xml:space="preserve"> </w:t>
      </w:r>
      <w:r w:rsidRPr="00E718B4">
        <w:rPr>
          <w:rFonts w:ascii="Arial" w:hAnsi="Arial" w:cs="Arial"/>
          <w:sz w:val="20"/>
          <w:szCs w:val="20"/>
        </w:rPr>
        <w:t>D. Business year to which profits and losses are attributed according to Article 40 of the Corporate Tax Act</w:t>
      </w:r>
      <w:r>
        <w:rPr>
          <w:rFonts w:ascii="Arial" w:hAnsi="Arial" w:cs="Arial"/>
          <w:sz w:val="20"/>
          <w:szCs w:val="20"/>
        </w:rPr>
        <w:t xml:space="preserve"> </w:t>
      </w:r>
      <w:r w:rsidRPr="00E718B4">
        <w:rPr>
          <w:rFonts w:ascii="Arial" w:hAnsi="Arial" w:cs="Arial"/>
          <w:sz w:val="20"/>
          <w:szCs w:val="20"/>
        </w:rPr>
        <w:t>E. Acquisition value of assets under Article 41 of the Corporate Tax Act</w:t>
      </w:r>
      <w:r>
        <w:rPr>
          <w:rFonts w:ascii="Arial" w:hAnsi="Arial" w:cs="Arial"/>
          <w:sz w:val="20"/>
          <w:szCs w:val="20"/>
        </w:rPr>
        <w:t xml:space="preserve"> </w:t>
      </w:r>
      <w:r w:rsidRPr="00E718B4">
        <w:rPr>
          <w:rFonts w:ascii="Arial" w:hAnsi="Arial" w:cs="Arial"/>
          <w:sz w:val="20"/>
          <w:szCs w:val="20"/>
        </w:rPr>
        <w:t>F. Non-inclusion of retirement insurance premiums, etc. in deductible expenses pursuant to Article 44-2 of the Enforcement Decree of the Corporate Tax Act.</w:t>
      </w:r>
      <w:r>
        <w:rPr>
          <w:rFonts w:ascii="Arial" w:hAnsi="Arial" w:cs="Arial"/>
          <w:sz w:val="20"/>
          <w:szCs w:val="20"/>
        </w:rPr>
        <w:t xml:space="preserve"> </w:t>
      </w:r>
      <w:r w:rsidRPr="00E718B4">
        <w:rPr>
          <w:rFonts w:ascii="Arial" w:hAnsi="Arial" w:cs="Arial"/>
          <w:sz w:val="20"/>
          <w:szCs w:val="20"/>
        </w:rPr>
        <w:t>G. Valuation of inventory assets pursuant to Article 74 of the Enforcement Decree of the Corporate Tax Act</w:t>
      </w:r>
      <w:r>
        <w:rPr>
          <w:rFonts w:ascii="Arial" w:hAnsi="Arial" w:cs="Arial"/>
          <w:sz w:val="20"/>
          <w:szCs w:val="20"/>
        </w:rPr>
        <w:t xml:space="preserve"> </w:t>
      </w:r>
      <w:r w:rsidRPr="00E718B4">
        <w:rPr>
          <w:rFonts w:ascii="맑은 고딕" w:eastAsia="맑은 고딕" w:hAnsi="맑은 고딕" w:cs="맑은 고딕" w:hint="eastAsia"/>
          <w:sz w:val="20"/>
          <w:szCs w:val="20"/>
        </w:rPr>
        <w:t>※</w:t>
      </w:r>
      <w:r w:rsidRPr="00E718B4">
        <w:rPr>
          <w:rFonts w:ascii="Arial" w:hAnsi="Arial" w:cs="Arial"/>
          <w:sz w:val="20"/>
          <w:szCs w:val="20"/>
        </w:rPr>
        <w:t xml:space="preserve"> If the adjustment amount related to non-inclusion of depreciation expenses is KRW 2,000,000, and the adjustment amount related to business is KRW 1,000,000, enter KRW 2,000,000 in </w:t>
      </w:r>
      <w:r w:rsidRPr="00E718B4">
        <w:rPr>
          <w:rFonts w:ascii="맑은 고딕" w:eastAsia="맑은 고딕" w:hAnsi="맑은 고딕" w:cs="맑은 고딕" w:hint="eastAsia"/>
          <w:sz w:val="20"/>
          <w:szCs w:val="20"/>
        </w:rPr>
        <w:t>②</w:t>
      </w:r>
      <w:r w:rsidRPr="00E718B4">
        <w:rPr>
          <w:rFonts w:ascii="Arial" w:hAnsi="Arial" w:cs="Arial"/>
          <w:sz w:val="20"/>
          <w:szCs w:val="20"/>
        </w:rPr>
        <w:t xml:space="preserve"> Amount column and KRW 1,000,000 in </w:t>
      </w:r>
      <w:r w:rsidRPr="00E718B4">
        <w:rPr>
          <w:rFonts w:ascii="맑은 고딕" w:eastAsia="맑은 고딕" w:hAnsi="맑은 고딕" w:cs="맑은 고딕" w:hint="eastAsia"/>
          <w:sz w:val="20"/>
          <w:szCs w:val="20"/>
        </w:rPr>
        <w:t>③</w:t>
      </w:r>
      <w:r w:rsidRPr="00E718B4">
        <w:rPr>
          <w:rFonts w:ascii="Arial" w:hAnsi="Arial" w:cs="Arial"/>
          <w:sz w:val="20"/>
          <w:szCs w:val="20"/>
        </w:rPr>
        <w:t xml:space="preserve"> Operating profit adjustment amount column.</w:t>
      </w:r>
    </w:p>
    <w:sectPr w:rsidR="003C432E" w:rsidRPr="00E718B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한컴돋움">
    <w:altName w:val="한컴돋움"/>
    <w:panose1 w:val="02030600000101010101"/>
    <w:charset w:val="81"/>
    <w:family w:val="roman"/>
    <w:pitch w:val="variable"/>
    <w:sig w:usb0="F7FFAFFF" w:usb1="FBDFFFFF" w:usb2="00FFFFFF" w:usb3="00000000" w:csb0="8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abstractNum w:abstractNumId="3" w15:restartNumberingAfterBreak="0">
    <w:nsid w:val="214C172A"/>
    <w:multiLevelType w:val="hybridMultilevel"/>
    <w:tmpl w:val="92CAF030"/>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6055700D"/>
    <w:multiLevelType w:val="hybridMultilevel"/>
    <w:tmpl w:val="E1C6F09C"/>
    <w:lvl w:ilvl="0" w:tplc="30942B50">
      <w:numFmt w:val="bullet"/>
      <w:lvlText w:val="■"/>
      <w:lvlJc w:val="left"/>
      <w:pPr>
        <w:ind w:left="1626" w:hanging="213"/>
      </w:pPr>
      <w:rPr>
        <w:rFonts w:ascii="한컴돋움" w:eastAsia="한컴돋움" w:hAnsi="한컴돋움" w:cs="한컴돋움" w:hint="default"/>
        <w:w w:val="89"/>
        <w:lang w:val="vi" w:eastAsia="en-US" w:bidi="ar-SA"/>
      </w:rPr>
    </w:lvl>
    <w:lvl w:ilvl="1" w:tplc="0B0A02D0">
      <w:numFmt w:val="bullet"/>
      <w:lvlText w:val=""/>
      <w:lvlJc w:val="left"/>
      <w:pPr>
        <w:ind w:left="1835" w:hanging="275"/>
      </w:pPr>
      <w:rPr>
        <w:rFonts w:ascii="Wingdings" w:eastAsia="Wingdings" w:hAnsi="Wingdings" w:cs="Wingdings" w:hint="default"/>
        <w:b w:val="0"/>
        <w:bCs w:val="0"/>
        <w:i w:val="0"/>
        <w:iCs w:val="0"/>
        <w:color w:val="999999"/>
        <w:w w:val="99"/>
        <w:sz w:val="22"/>
        <w:szCs w:val="22"/>
        <w:lang w:val="vi" w:eastAsia="en-US" w:bidi="ar-SA"/>
      </w:rPr>
    </w:lvl>
    <w:lvl w:ilvl="2" w:tplc="67441052">
      <w:numFmt w:val="bullet"/>
      <w:lvlText w:val="-"/>
      <w:lvlJc w:val="left"/>
      <w:pPr>
        <w:ind w:left="2031" w:hanging="209"/>
      </w:pPr>
      <w:rPr>
        <w:rFonts w:ascii="한컴돋움" w:eastAsia="한컴돋움" w:hAnsi="한컴돋움" w:cs="한컴돋움" w:hint="default"/>
        <w:b w:val="0"/>
        <w:bCs w:val="0"/>
        <w:i w:val="0"/>
        <w:iCs w:val="0"/>
        <w:w w:val="85"/>
        <w:sz w:val="22"/>
        <w:szCs w:val="22"/>
        <w:lang w:val="vi" w:eastAsia="en-US" w:bidi="ar-SA"/>
      </w:rPr>
    </w:lvl>
    <w:lvl w:ilvl="3" w:tplc="9300E88C">
      <w:numFmt w:val="bullet"/>
      <w:lvlText w:val="•"/>
      <w:lvlJc w:val="left"/>
      <w:pPr>
        <w:ind w:left="2020" w:hanging="209"/>
      </w:pPr>
      <w:rPr>
        <w:rFonts w:hint="default"/>
        <w:lang w:val="vi" w:eastAsia="en-US" w:bidi="ar-SA"/>
      </w:rPr>
    </w:lvl>
    <w:lvl w:ilvl="4" w:tplc="034E2D82">
      <w:numFmt w:val="bullet"/>
      <w:lvlText w:val="•"/>
      <w:lvlJc w:val="left"/>
      <w:pPr>
        <w:ind w:left="2040" w:hanging="209"/>
      </w:pPr>
      <w:rPr>
        <w:rFonts w:hint="default"/>
        <w:lang w:val="vi" w:eastAsia="en-US" w:bidi="ar-SA"/>
      </w:rPr>
    </w:lvl>
    <w:lvl w:ilvl="5" w:tplc="2F42654C">
      <w:numFmt w:val="bullet"/>
      <w:lvlText w:val="•"/>
      <w:lvlJc w:val="left"/>
      <w:pPr>
        <w:ind w:left="2841" w:hanging="209"/>
      </w:pPr>
      <w:rPr>
        <w:rFonts w:hint="default"/>
        <w:lang w:val="vi" w:eastAsia="en-US" w:bidi="ar-SA"/>
      </w:rPr>
    </w:lvl>
    <w:lvl w:ilvl="6" w:tplc="A9B2A9AC">
      <w:numFmt w:val="bullet"/>
      <w:lvlText w:val="•"/>
      <w:lvlJc w:val="left"/>
      <w:pPr>
        <w:ind w:left="3643" w:hanging="209"/>
      </w:pPr>
      <w:rPr>
        <w:rFonts w:hint="default"/>
        <w:lang w:val="vi" w:eastAsia="en-US" w:bidi="ar-SA"/>
      </w:rPr>
    </w:lvl>
    <w:lvl w:ilvl="7" w:tplc="BD645CD8">
      <w:numFmt w:val="bullet"/>
      <w:lvlText w:val="•"/>
      <w:lvlJc w:val="left"/>
      <w:pPr>
        <w:ind w:left="4445" w:hanging="209"/>
      </w:pPr>
      <w:rPr>
        <w:rFonts w:hint="default"/>
        <w:lang w:val="vi" w:eastAsia="en-US" w:bidi="ar-SA"/>
      </w:rPr>
    </w:lvl>
    <w:lvl w:ilvl="8" w:tplc="32DED43A">
      <w:numFmt w:val="bullet"/>
      <w:lvlText w:val="•"/>
      <w:lvlJc w:val="left"/>
      <w:pPr>
        <w:ind w:left="5247" w:hanging="209"/>
      </w:pPr>
      <w:rPr>
        <w:rFonts w:hint="default"/>
        <w:lang w:val="vi" w:eastAsia="en-US" w:bidi="ar-SA"/>
      </w:r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2"/>
  </w:num>
  <w:num w:numId="7" w16cid:durableId="2041736283">
    <w:abstractNumId w:val="4"/>
  </w:num>
  <w:num w:numId="8" w16cid:durableId="1884554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F6"/>
    <w:rsid w:val="00015673"/>
    <w:rsid w:val="003C432E"/>
    <w:rsid w:val="00512FF6"/>
    <w:rsid w:val="009E5637"/>
    <w:rsid w:val="00AE4918"/>
    <w:rsid w:val="00CD59F6"/>
    <w:rsid w:val="00E718B4"/>
    <w:rsid w:val="00F37D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EFEF"/>
  <w15:chartTrackingRefBased/>
  <w15:docId w15:val="{A0C445F6-810B-48FB-AD80-42FE3432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D59F6"/>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 w:type="table" w:customStyle="1" w:styleId="TableNormal">
    <w:name w:val="Table Normal"/>
    <w:uiPriority w:val="2"/>
    <w:semiHidden/>
    <w:unhideWhenUsed/>
    <w:qFormat/>
    <w:rsid w:val="00CD59F6"/>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4">
    <w:name w:val="Body Text"/>
    <w:basedOn w:val="a0"/>
    <w:link w:val="Char"/>
    <w:uiPriority w:val="1"/>
    <w:qFormat/>
    <w:rsid w:val="00CD59F6"/>
  </w:style>
  <w:style w:type="character" w:customStyle="1" w:styleId="Char">
    <w:name w:val="본문 Char"/>
    <w:basedOn w:val="a1"/>
    <w:link w:val="a4"/>
    <w:uiPriority w:val="1"/>
    <w:rsid w:val="00CD59F6"/>
    <w:rPr>
      <w:rFonts w:ascii="한컴돋움" w:eastAsia="한컴돋움" w:hAnsi="한컴돋움" w:cs="한컴돋움"/>
      <w:kern w:val="0"/>
      <w:sz w:val="22"/>
      <w:lang w:val="vi" w:eastAsia="en-US"/>
    </w:rPr>
  </w:style>
  <w:style w:type="paragraph" w:styleId="a5">
    <w:name w:val="List Paragraph"/>
    <w:basedOn w:val="a0"/>
    <w:uiPriority w:val="1"/>
    <w:qFormat/>
    <w:rsid w:val="00CD59F6"/>
    <w:pPr>
      <w:ind w:left="1835" w:hanging="275"/>
    </w:pPr>
  </w:style>
  <w:style w:type="paragraph" w:customStyle="1" w:styleId="TableParagraph">
    <w:name w:val="Table Paragraph"/>
    <w:basedOn w:val="a0"/>
    <w:uiPriority w:val="1"/>
    <w:qFormat/>
    <w:rsid w:val="00CD5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320</Words>
  <Characters>1828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3</cp:revision>
  <dcterms:created xsi:type="dcterms:W3CDTF">2023-10-15T13:45:00Z</dcterms:created>
  <dcterms:modified xsi:type="dcterms:W3CDTF">2023-10-15T14:04:00Z</dcterms:modified>
</cp:coreProperties>
</file>