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1661" w14:textId="77777777" w:rsidR="009317EE" w:rsidRDefault="000E56A1">
      <w:r>
        <w:t xml:space="preserve">[{(개시사업연도에 제공받은 사업기회로 인하여 발생한 수혜법인의 이익×지배주주 등의 주식보유비율)－개시사업연도분의 법인세 납부세액 중 상당액}÷개시사업 연도의 월 수×12]×3 * 배당소득×개시사업연도의 </w:t>
      </w:r>
      <w:proofErr w:type="spellStart"/>
      <w:r>
        <w:t>증여의제이익</w:t>
      </w:r>
      <w:proofErr w:type="spellEnd"/>
      <w:r>
        <w:t>÷(수혜법인의 사업연도 말일의 법인세법 시행령§86의2①에 따른 배당가능이익×</w:t>
      </w:r>
      <w:proofErr w:type="spellStart"/>
      <w:r>
        <w:t>지배주주등의</w:t>
      </w:r>
      <w:proofErr w:type="spellEnd"/>
      <w:r>
        <w:t xml:space="preserve"> 수혜법인에 대한 주식보유비율)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A1"/>
    <w:rsid w:val="000E56A1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FF3A"/>
  <w15:chartTrackingRefBased/>
  <w15:docId w15:val="{2473803E-741A-4790-8E27-7FC7673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2023-09-27T17:51:00Z</dcterms:created>
  <dcterms:modified xsi:type="dcterms:W3CDTF">2023-09-27T17:51:00Z</dcterms:modified>
</cp:coreProperties>
</file>