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0217" w14:textId="77777777" w:rsidR="009317EE" w:rsidRDefault="00CE6895">
      <w:r>
        <w:t>[(제공받은 사업기회로 인하여 개시사업연도부터 정산사업연도까지 발생한 수혜 법인의 이익 합계액)×지배주주 등의 주식보유비율]-개시사업연도분부터 정산사업 연도분까지의 법인세 납부세액 중 상당액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95"/>
    <w:rsid w:val="009317EE"/>
    <w:rsid w:val="00B0580C"/>
    <w:rsid w:val="00B57DAA"/>
    <w:rsid w:val="00CE6895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82BF"/>
  <w15:chartTrackingRefBased/>
  <w15:docId w15:val="{9C4A784F-A81D-4A51-B0E6-AD3EDD5D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2023-09-27T17:55:00Z</dcterms:created>
  <dcterms:modified xsi:type="dcterms:W3CDTF">2023-09-27T17:55:00Z</dcterms:modified>
</cp:coreProperties>
</file>