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2F5F" w14:textId="2725F4D9" w:rsidR="009317EE" w:rsidRDefault="00506354">
      <w:r>
        <w:t xml:space="preserve">② 세무조정결과 소득증가로 손익미계상 법인세 등은 다음과 같음. </w:t>
      </w:r>
      <w:r>
        <w:rPr>
          <w:rFonts w:ascii="Cambria Math" w:hAnsi="Cambria Math" w:cs="Cambria Math"/>
        </w:rPr>
        <w:t>⦁</w:t>
      </w:r>
      <w:r>
        <w:t xml:space="preserve">법인세 500,000원, </w:t>
      </w:r>
      <w:r>
        <w:rPr>
          <w:rFonts w:ascii="Cambria Math" w:hAnsi="Cambria Math" w:cs="Cambria Math"/>
        </w:rPr>
        <w:t>⦁</w:t>
      </w:r>
      <w:r>
        <w:t xml:space="preserve">법인지방소득세 40,000원 ③ 세무계산상 이월결손금은 다음과 같음. </w:t>
      </w:r>
      <w:r>
        <w:rPr>
          <w:rFonts w:ascii="Cambria Math" w:hAnsi="Cambria Math" w:cs="Cambria Math"/>
        </w:rPr>
        <w:t>⦁</w:t>
      </w:r>
      <w:r>
        <w:t>’03년 1월∼12월 4,000,000원(’04∼’05년에 3,500,000원을 공제하였으며, 미공제액 500,000원이 남아있음) ④ 전기 자본금과 적립금 조정명세서(을) 기말잔액과 당기 소득금액 조정내역 과목 또는 사항 자본금과 적립금 조정계산서(을) 전기말금액 당기소득금액 조정합계표 익금산입 및 손금불산입 손금산입 및 익금불산입 금액 처 분 금액 처분 공사수입조정 5,000,000 3,500,000 유보 5,000,000 유보 접대비한도초과 5,000,000 기 타 사외유출 외화평가차손 4,000,000 200,000 유보 가지급금인정이자 900,000 상여 건설자금이자 800,000 100,000 유보 중소기업투자준비금 한도초과 2,200,000 1,000,000 유보 퇴직금여충당금 한도초과 300,000 900,000 유보 대손충당금한도초과 700,000 700,000 유보 재고자산평가감 400,000 600,000 유보 400,000 유보 유형자산 감가상각비 부인액 3,000,000 2,000,000 유보 토지취득세 260,000 240,000 유보 벌과금 270,000 기타 사외유출 법인세 등 3,300,000 기타 사외유출 계 16,660,000 15,010,000 9,100,000</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54"/>
    <w:rsid w:val="0033138A"/>
    <w:rsid w:val="00506354"/>
    <w:rsid w:val="009317EE"/>
    <w:rsid w:val="00B0580C"/>
    <w:rsid w:val="00B57DAA"/>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2071"/>
  <w15:chartTrackingRefBased/>
  <w15:docId w15:val="{764FB751-B38F-47F7-91C7-D8933C7E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jeong seon park</cp:lastModifiedBy>
  <cp:revision>2</cp:revision>
  <dcterms:created xsi:type="dcterms:W3CDTF">2023-09-06T11:48:00Z</dcterms:created>
  <dcterms:modified xsi:type="dcterms:W3CDTF">2023-10-06T03:23:00Z</dcterms:modified>
</cp:coreProperties>
</file>