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47E68" w:rsidRDefault="00F17185" w:rsidP="00F47E68">
      <w:bookmarkStart w:id="0" w:name="_GoBack"/>
      <w:bookmarkEnd w:id="0"/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Corporate tax base and tax return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①</w:t>
      </w:r>
      <w:r w:rsidR="00F47E68" w:rsidRPr="00F47E68">
        <w:rPr>
          <w:rFonts w:ascii="Arial" w:hAnsi="Arial" w:cs="Arial"/>
        </w:rPr>
        <w:t xml:space="preserve"> Business registration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101-81-12345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②</w:t>
      </w:r>
      <w:r w:rsidR="00F47E68" w:rsidRPr="00F47E68">
        <w:rPr>
          <w:rFonts w:ascii="Arial" w:hAnsi="Arial" w:cs="Arial"/>
        </w:rPr>
        <w:t xml:space="preserve"> Corporation registration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110111-1234567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③</w:t>
      </w:r>
      <w:r w:rsidR="00F47E68" w:rsidRPr="00F47E68">
        <w:rPr>
          <w:rFonts w:ascii="Arial" w:hAnsi="Arial" w:cs="Arial"/>
        </w:rPr>
        <w:t xml:space="preserve"> Corporation name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Ghana Co., Ltd.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④</w:t>
      </w:r>
      <w:r w:rsidR="00F47E68" w:rsidRPr="00F47E68">
        <w:rPr>
          <w:rFonts w:ascii="Arial" w:hAnsi="Arial" w:cs="Arial"/>
        </w:rPr>
        <w:t xml:space="preserve"> Phone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⑤</w:t>
      </w:r>
      <w:r w:rsidR="00F47E68" w:rsidRPr="00F47E68">
        <w:rPr>
          <w:rFonts w:ascii="Arial" w:hAnsi="Arial" w:cs="Arial"/>
        </w:rPr>
        <w:t xml:space="preserve"> Representative statement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Hong Gil Dong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⑥</w:t>
      </w:r>
      <w:r w:rsidR="00F47E68" w:rsidRPr="00F47E68">
        <w:rPr>
          <w:rFonts w:ascii="Arial" w:hAnsi="Arial" w:cs="Arial"/>
        </w:rPr>
        <w:t xml:space="preserve"> Email address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⑦</w:t>
      </w:r>
      <w:r w:rsidR="00F47E68" w:rsidRPr="00F47E68">
        <w:rPr>
          <w:rFonts w:ascii="Arial" w:hAnsi="Arial" w:cs="Arial"/>
        </w:rPr>
        <w:t xml:space="preserve"> Location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⑧</w:t>
      </w:r>
      <w:r w:rsidR="00F47E68" w:rsidRPr="00F47E68">
        <w:rPr>
          <w:rFonts w:ascii="Arial" w:hAnsi="Arial" w:cs="Arial"/>
        </w:rPr>
        <w:t xml:space="preserve"> Business type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manufacturing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⑨</w:t>
      </w:r>
      <w:r w:rsidR="00F47E68" w:rsidRPr="00F47E68">
        <w:rPr>
          <w:rFonts w:ascii="Arial" w:hAnsi="Arial" w:cs="Arial"/>
        </w:rPr>
        <w:t xml:space="preserve"> Event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basic chemicals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⑩</w:t>
      </w:r>
      <w:r w:rsidR="00F47E68" w:rsidRPr="00F47E68">
        <w:rPr>
          <w:rFonts w:ascii="Arial" w:hAnsi="Arial" w:cs="Arial"/>
        </w:rPr>
        <w:t xml:space="preserve"> Main industry code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241102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⑪</w:t>
      </w:r>
      <w:r w:rsidR="00F47E68" w:rsidRPr="00F47E68">
        <w:rPr>
          <w:rFonts w:ascii="Arial" w:hAnsi="Arial" w:cs="Arial"/>
        </w:rPr>
        <w:t xml:space="preserve"> Fiscal year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2022.1.1.~2022. 12.31.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⑫</w:t>
      </w:r>
      <w:r w:rsidR="00F47E68" w:rsidRPr="00F47E68">
        <w:rPr>
          <w:rFonts w:ascii="Arial" w:hAnsi="Arial" w:cs="Arial"/>
        </w:rPr>
        <w:t xml:space="preserve"> Occasional assessment period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⑬</w:t>
      </w:r>
      <w:r w:rsidR="00F47E68" w:rsidRPr="00F47E68">
        <w:rPr>
          <w:rFonts w:ascii="Arial" w:hAnsi="Arial" w:cs="Arial"/>
        </w:rPr>
        <w:t>Corporation classification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1. Domestic 2. Foreign 3. Foreign Investment (%)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⑭</w:t>
      </w:r>
      <w:r w:rsidR="00F47E68" w:rsidRPr="00F47E68">
        <w:rPr>
          <w:rFonts w:ascii="Arial" w:hAnsi="Arial" w:cs="Arial"/>
        </w:rPr>
        <w:t xml:space="preserve"> Adjustment classification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1. External 2. Self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 w:hint="eastAsia"/>
        </w:rPr>
        <w:t>⑮</w:t>
      </w:r>
      <w:r w:rsidR="00F47E68" w:rsidRPr="00F47E68">
        <w:rPr>
          <w:rFonts w:ascii="Arial" w:hAnsi="Arial" w:cs="Arial"/>
        </w:rPr>
        <w:t xml:space="preserve"> Classification by type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Small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Enterprise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common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Net Income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taxation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Cambria Math" w:hAnsi="Cambria Math" w:cs="Cambria Math"/>
        </w:rPr>
        <w:t>⑯</w:t>
      </w:r>
      <w:r w:rsidR="00F47E68" w:rsidRPr="00F47E68">
        <w:rPr>
          <w:rFonts w:ascii="Arial" w:hAnsi="Arial" w:cs="Arial"/>
        </w:rPr>
        <w:t xml:space="preserve"> External audit target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1. Yes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2. No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midsize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Enterprise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Cross shareholding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limited company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etc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Enterprise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Cambria Math" w:hAnsi="Cambria Math" w:cs="Cambria Math"/>
        </w:rPr>
        <w:t>⑰</w:t>
      </w:r>
      <w:r w:rsidR="00F47E68" w:rsidRPr="00F47E68">
        <w:rPr>
          <w:rFonts w:ascii="Arial" w:hAnsi="Arial" w:cs="Arial"/>
        </w:rPr>
        <w:t xml:space="preserve"> Report classification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1. Regular report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2. Amended report (A, written analysis, B, other)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profit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corporation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Listed corporation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71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81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91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3. Report after deadline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KOSDAQ listed corporation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72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82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92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4. Report of early business closure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Other corporations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73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83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93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5. Request for correction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non-profit corporation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74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84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94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Cambria Math" w:hAnsi="Cambria Math" w:cs="Cambria Math"/>
        </w:rPr>
        <w:t>⑱</w:t>
      </w:r>
      <w:r w:rsidR="00F47E68" w:rsidRPr="00F47E68">
        <w:rPr>
          <w:rFonts w:ascii="Arial" w:hAnsi="Arial" w:cs="Arial"/>
        </w:rPr>
        <w:t xml:space="preserve"> Classification by corporate type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Cambria Math" w:hAnsi="Cambria Math" w:cs="Cambria Math"/>
        </w:rPr>
        <w:t>⑲</w:t>
      </w:r>
      <w:r w:rsidR="00F47E68" w:rsidRPr="00F47E68">
        <w:rPr>
          <w:rFonts w:ascii="Arial" w:hAnsi="Arial" w:cs="Arial"/>
        </w:rPr>
        <w:t xml:space="preserve"> Settlement date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Cambria Math" w:hAnsi="Cambria Math" w:cs="Cambria Math"/>
        </w:rPr>
        <w:t>⑳</w:t>
      </w:r>
      <w:r w:rsidR="00F47E68" w:rsidRPr="00F47E68">
        <w:rPr>
          <w:rFonts w:ascii="Arial" w:hAnsi="Arial" w:cs="Arial"/>
        </w:rPr>
        <w:t xml:space="preserve"> Report date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㉑</w:t>
      </w:r>
      <w:r w:rsidR="00F47E68" w:rsidRPr="00F47E68">
        <w:rPr>
          <w:rFonts w:ascii="Arial" w:hAnsi="Arial" w:cs="Arial"/>
        </w:rPr>
        <w:t xml:space="preserve"> Payment date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㉒</w:t>
      </w:r>
      <w:r w:rsidR="00F47E68" w:rsidRPr="00F47E68">
        <w:rPr>
          <w:rFonts w:ascii="Arial" w:hAnsi="Arial" w:cs="Arial"/>
        </w:rPr>
        <w:t xml:space="preserve"> Approval of extension of reporting period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1. Application date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2. Extension deadline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Yes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Yes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㉓</w:t>
      </w:r>
      <w:r w:rsidR="00F47E68" w:rsidRPr="00F47E68">
        <w:rPr>
          <w:rFonts w:ascii="Arial" w:hAnsi="Arial" w:cs="Arial"/>
        </w:rPr>
        <w:t xml:space="preserve"> Stock fluctuations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㉔</w:t>
      </w:r>
      <w:r w:rsidR="00F47E68" w:rsidRPr="00F47E68">
        <w:rPr>
          <w:rFonts w:ascii="Arial" w:hAnsi="Arial" w:cs="Arial"/>
        </w:rPr>
        <w:t xml:space="preserve"> Book computerization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㉕</w:t>
      </w:r>
      <w:r w:rsidR="00F47E68" w:rsidRPr="00F47E68">
        <w:rPr>
          <w:rFonts w:ascii="Arial" w:hAnsi="Arial" w:cs="Arial"/>
        </w:rPr>
        <w:t xml:space="preserve"> Fiscal year agenda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㉖</w:t>
      </w:r>
      <w:r w:rsidR="00F47E68" w:rsidRPr="00F47E68">
        <w:rPr>
          <w:rFonts w:ascii="Arial" w:hAnsi="Arial" w:cs="Arial"/>
        </w:rPr>
        <w:t xml:space="preserve"> Application for corporate tax refund for retroactive loss deduction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㉗</w:t>
      </w:r>
      <w:r w:rsidR="00F47E68" w:rsidRPr="00F47E68">
        <w:rPr>
          <w:rFonts w:ascii="Arial" w:hAnsi="Arial" w:cs="Arial"/>
        </w:rPr>
        <w:t xml:space="preserve"> Submission of depreciation method (useful life) report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㉘</w:t>
      </w:r>
      <w:r w:rsidR="00F47E68" w:rsidRPr="00F47E68">
        <w:rPr>
          <w:rFonts w:ascii="Arial" w:hAnsi="Arial" w:cs="Arial"/>
        </w:rPr>
        <w:t xml:space="preserve"> Submission of inventory asset valuation method declaration form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㉙</w:t>
      </w:r>
      <w:r w:rsidR="00F47E68" w:rsidRPr="00F47E68">
        <w:rPr>
          <w:rFonts w:ascii="Arial" w:hAnsi="Arial" w:cs="Arial"/>
        </w:rPr>
        <w:t xml:space="preserve"> Adoption of functional currency and preparation of financial statements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㉚</w:t>
      </w:r>
      <w:r w:rsidR="00F47E68" w:rsidRPr="00F47E68">
        <w:rPr>
          <w:rFonts w:ascii="Arial" w:hAnsi="Arial" w:cs="Arial"/>
        </w:rPr>
        <w:t xml:space="preserve"> Exchange rate applied when converting tax base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㉛</w:t>
      </w:r>
      <w:r w:rsidR="00F47E68" w:rsidRPr="00F47E68">
        <w:rPr>
          <w:rFonts w:ascii="Arial" w:hAnsi="Arial" w:cs="Arial"/>
        </w:rPr>
        <w:t xml:space="preserve"> Investor (partner) in a partnership company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㉜</w:t>
      </w:r>
      <w:r w:rsidR="00F47E68" w:rsidRPr="00F47E68">
        <w:rPr>
          <w:rFonts w:ascii="Arial" w:hAnsi="Arial" w:cs="Arial"/>
        </w:rPr>
        <w:t xml:space="preserve"> Application of International Financial Reporting Standards (K-IFFS)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㊼</w:t>
      </w:r>
      <w:r w:rsidR="00F47E68" w:rsidRPr="00F47E68">
        <w:rPr>
          <w:rFonts w:ascii="Arial" w:hAnsi="Arial" w:cs="Arial"/>
        </w:rPr>
        <w:t xml:space="preserve"> Tax base calculation method for companies introducing functional currency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㊽</w:t>
      </w:r>
      <w:r w:rsidR="00F47E68" w:rsidRPr="00F47E68">
        <w:rPr>
          <w:rFonts w:ascii="Arial" w:hAnsi="Arial" w:cs="Arial"/>
        </w:rPr>
        <w:t xml:space="preserve"> Corporate tax reporting on unrefunded income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㊾</w:t>
      </w:r>
      <w:r w:rsidR="00F47E68" w:rsidRPr="00F47E68">
        <w:rPr>
          <w:rFonts w:ascii="Arial" w:hAnsi="Arial" w:cs="Arial"/>
        </w:rPr>
        <w:t xml:space="preserve"> Submission of sincere report confirmation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corporate tax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corporate tax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Corporate tax on income from land, etc.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Corporate tax on unrefunded income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total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㉝</w:t>
      </w:r>
      <w:r w:rsidR="00F47E68" w:rsidRPr="00F47E68">
        <w:rPr>
          <w:rFonts w:ascii="Arial" w:hAnsi="Arial" w:cs="Arial"/>
        </w:rPr>
        <w:t xml:space="preserve"> Number of deposits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(3,000,000,000)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㉞</w:t>
      </w:r>
      <w:r w:rsidR="00F47E68" w:rsidRPr="00F47E68">
        <w:rPr>
          <w:rFonts w:ascii="Arial" w:hAnsi="Arial" w:cs="Arial"/>
        </w:rPr>
        <w:t xml:space="preserve"> Tax base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207,671,000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㉟</w:t>
      </w:r>
      <w:r w:rsidR="00F47E68" w:rsidRPr="00F47E68">
        <w:rPr>
          <w:rFonts w:ascii="Arial" w:hAnsi="Arial" w:cs="Arial"/>
        </w:rPr>
        <w:t xml:space="preserve"> Calculated tax amount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21,534,200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21,534,200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㊱</w:t>
      </w:r>
      <w:r w:rsidR="00F47E68" w:rsidRPr="00F47E68">
        <w:rPr>
          <w:rFonts w:ascii="Arial" w:hAnsi="Arial" w:cs="Arial"/>
        </w:rPr>
        <w:t xml:space="preserve"> Total tax burden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21,374,200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21,374,200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㊲</w:t>
      </w:r>
      <w:r w:rsidR="00F47E68" w:rsidRPr="00F47E68">
        <w:rPr>
          <w:rFonts w:ascii="Arial" w:hAnsi="Arial" w:cs="Arial"/>
        </w:rPr>
        <w:t xml:space="preserve"> Tax amount already paid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21,000,000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21,000,000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㊳</w:t>
      </w:r>
      <w:r w:rsidR="00F47E68" w:rsidRPr="00F47E68">
        <w:rPr>
          <w:rFonts w:ascii="Arial" w:hAnsi="Arial" w:cs="Arial"/>
        </w:rPr>
        <w:t xml:space="preserve"> Tax amount to be deducted and paid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374,200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374,200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㊴</w:t>
      </w:r>
      <w:r w:rsidR="00F47E68" w:rsidRPr="00F47E68">
        <w:rPr>
          <w:rFonts w:ascii="Arial" w:hAnsi="Arial" w:cs="Arial"/>
        </w:rPr>
        <w:t xml:space="preserve"> Tax amount to be paid in installments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㊵</w:t>
      </w:r>
      <w:r w:rsidR="00F47E68" w:rsidRPr="00F47E68">
        <w:rPr>
          <w:rFonts w:ascii="Arial" w:hAnsi="Arial" w:cs="Arial"/>
        </w:rPr>
        <w:t xml:space="preserve"> Deducted tax amount paid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㊶</w:t>
      </w:r>
      <w:r w:rsidR="00F47E68" w:rsidRPr="00F47E68">
        <w:rPr>
          <w:rFonts w:ascii="Arial" w:hAnsi="Arial" w:cs="Arial"/>
        </w:rPr>
        <w:t xml:space="preserve"> Control panel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㊸</w:t>
      </w:r>
      <w:r w:rsidR="00F47E68" w:rsidRPr="00F47E68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㊷</w:t>
      </w:r>
      <w:r w:rsidR="00F47E68" w:rsidRPr="00F47E68">
        <w:rPr>
          <w:rFonts w:ascii="Arial" w:hAnsi="Arial" w:cs="Arial"/>
        </w:rPr>
        <w:t xml:space="preserve"> Coordinator management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Company Registration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phone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National tax refund account report (if the refunded tax amount is less than 50 million won)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㊹</w:t>
      </w:r>
      <w:r w:rsidR="00F47E68" w:rsidRPr="00F47E68">
        <w:rPr>
          <w:rFonts w:ascii="Arial" w:hAnsi="Arial" w:cs="Arial"/>
        </w:rPr>
        <w:t xml:space="preserve"> Deposit place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Bank (main) branch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㊺</w:t>
      </w:r>
      <w:r w:rsidR="00F47E68" w:rsidRPr="00F47E68">
        <w:rPr>
          <w:rFonts w:ascii="Arial" w:hAnsi="Arial" w:cs="Arial"/>
        </w:rPr>
        <w:t xml:space="preserve"> Deposit type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Microsoft YaHei" w:eastAsia="Microsoft YaHei" w:hAnsi="Microsoft YaHei" w:cs="Microsoft YaHei" w:hint="eastAsia"/>
        </w:rPr>
        <w:t>㊻</w:t>
      </w:r>
      <w:r w:rsidR="00F47E68" w:rsidRPr="00F47E68">
        <w:rPr>
          <w:rFonts w:ascii="Arial" w:hAnsi="Arial" w:cs="Arial"/>
        </w:rPr>
        <w:t xml:space="preserve"> Account number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Deposit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The reporter reports the above contents in accordance with Article 60 of the Corporate Tax Act and Article 45, Article 45-2 and Article 45-3 of the Framework Act on National Taxes, and has thoroughly reviewed the above contents and reports the facts as known to the reporter. Make sure you have written it down correctly.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Year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Month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Day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Reporter (Corporation)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(Seal)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Reporter (Representative)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(Signature)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As a tax professional, the tax agent certifies that the above report has been prepared faithfully and fairly.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Tax agent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(signature or seal)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To the head of the tax office: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attached document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1. Statement of financial position, 2. (comprehensive) income statement, 3. Statement of appropriation of retained earnings (loss),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4. Cash flow statement (only applicable to corporations subject to external audit pursuant to Article 2 of the Act on External Audit of Stock Companies), 5. Tax adjustment statement</w:t>
      </w:r>
      <w:r>
        <w:rPr>
          <w:rFonts w:ascii="Arial" w:hAnsi="Arial" w:cs="Arial"/>
        </w:rPr>
        <w:t xml:space="preserve"> </w:t>
      </w:r>
      <w:r w:rsidR="00F47E68" w:rsidRPr="00F47E68">
        <w:rPr>
          <w:rFonts w:ascii="Arial" w:hAnsi="Arial" w:cs="Arial"/>
        </w:rPr>
        <w:t>No fee</w:t>
      </w:r>
      <w:r>
        <w:t xml:space="preserve"> </w:t>
      </w:r>
    </w:p>
    <w:sectPr w:rsidR="00040D4D" w:rsidRPr="00F47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D8" w:rsidRDefault="004356D8" w:rsidP="00040D4D">
      <w:pPr>
        <w:spacing w:after="0" w:line="240" w:lineRule="auto"/>
      </w:pPr>
      <w:r>
        <w:separator/>
      </w:r>
    </w:p>
  </w:endnote>
  <w:endnote w:type="continuationSeparator" w:id="0">
    <w:p w:rsidR="004356D8" w:rsidRDefault="004356D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D8" w:rsidRDefault="004356D8" w:rsidP="00040D4D">
      <w:pPr>
        <w:spacing w:after="0" w:line="240" w:lineRule="auto"/>
      </w:pPr>
      <w:r>
        <w:separator/>
      </w:r>
    </w:p>
  </w:footnote>
  <w:footnote w:type="continuationSeparator" w:id="0">
    <w:p w:rsidR="004356D8" w:rsidRDefault="004356D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356D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C4005D"/>
    <w:rsid w:val="00F17185"/>
    <w:rsid w:val="00F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2023-10-15T12:09:00Z</dcterms:created>
  <dcterms:modified xsi:type="dcterms:W3CDTF">2023-10-15T12:10:00Z</dcterms:modified>
</cp:coreProperties>
</file>