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E31" w:rsidRDefault="00DE4E31" w:rsidP="00DE4E31"/>
    <w:p w:rsidR="00DE4E31" w:rsidRDefault="00DE4E31" w:rsidP="00DE4E31">
      <w:r>
        <w:t>- In the resident registration number (business number) column, refer to the table below, and determine whether it is the same based on the number to classify minority shareholders</w:t>
      </w:r>
      <w:r>
        <w:rPr>
          <w:rFonts w:hint="eastAsia"/>
        </w:rPr>
        <w:t xml:space="preserve">  </w:t>
      </w:r>
      <w:r>
        <w:t>Category</w:t>
      </w:r>
      <w:r>
        <w:rPr>
          <w:rFonts w:hint="eastAsia"/>
        </w:rPr>
        <w:t xml:space="preserve"> </w:t>
      </w:r>
      <w:r>
        <w:t>Entry number</w:t>
      </w:r>
      <w:r>
        <w:rPr>
          <w:rFonts w:hint="eastAsia"/>
        </w:rPr>
        <w:t xml:space="preserve"> </w:t>
      </w:r>
      <w:r>
        <w:t>(1)</w:t>
      </w:r>
      <w:r>
        <w:rPr>
          <w:rFonts w:hint="eastAsia"/>
        </w:rPr>
        <w:t xml:space="preserve"> </w:t>
      </w:r>
      <w:r>
        <w:t>Principles</w:t>
      </w:r>
      <w:r>
        <w:rPr>
          <w:rFonts w:hint="eastAsia"/>
        </w:rPr>
        <w:t xml:space="preserve"> </w:t>
      </w:r>
      <w:r>
        <w:t>Resident registration number or business registration number</w:t>
      </w:r>
      <w:r>
        <w:rPr>
          <w:rFonts w:hint="eastAsia"/>
        </w:rPr>
        <w:t xml:space="preserve"> </w:t>
      </w:r>
      <w:r>
        <w:t>(Unique number granted if there is n</w:t>
      </w:r>
      <w:r>
        <w:t>o business registration number)</w:t>
      </w:r>
      <w:r>
        <w:rPr>
          <w:rFonts w:hint="eastAsia"/>
        </w:rPr>
        <w:t xml:space="preserve"> </w:t>
      </w:r>
      <w:r>
        <w:t>(2)</w:t>
      </w:r>
      <w:r>
        <w:rPr>
          <w:rFonts w:hint="eastAsia"/>
        </w:rPr>
        <w:t xml:space="preserve"> </w:t>
      </w:r>
      <w:r>
        <w:t>(1)If the entry number of is not assigned</w:t>
      </w:r>
      <w:r>
        <w:tab/>
        <w:t>[Individual] Write down the domestic residence report number (in case of overseas Koreans or foreign nationals) or the alien registration number (in case of foreigners) on the alien registration card, and if there is no such number, write the passport number on the investment registration card on the passport, and if there is no such number</w:t>
      </w:r>
      <w:r>
        <w:rPr>
          <w:rFonts w:hint="eastAsia"/>
        </w:rPr>
        <w:t xml:space="preserve"> </w:t>
      </w:r>
      <w:r>
        <w:t>(3)</w:t>
      </w:r>
      <w:r>
        <w:rPr>
          <w:rFonts w:hint="eastAsia"/>
        </w:rPr>
        <w:t xml:space="preserve"> </w:t>
      </w:r>
      <w:r>
        <w:t>(1)If the entry number of 2.(2) is not assigned</w:t>
      </w:r>
      <w:r>
        <w:tab/>
        <w:t>Write down the investment registration number on the investment registration card, and if there is no such number, the tax payment number of the relevant country of residence</w:t>
      </w:r>
      <w:r>
        <w:rPr>
          <w:rFonts w:hint="eastAsia"/>
        </w:rPr>
        <w:t xml:space="preserve"> </w:t>
      </w:r>
      <w:r>
        <w:t>- If a foreign investor or foreign corporation, which is an investor, is a shareholder who is exempted from the obligation to submit a statement of stock fluctuations pursuant to Article 119 (2) of the Corporate Tax Act, it shall be added to the sub-section of shareholders exempted from the obligation to submit.</w:t>
      </w:r>
      <w:r>
        <w:rPr>
          <w:rFonts w:hint="eastAsia"/>
        </w:rPr>
        <w:t xml:space="preserve"> </w:t>
      </w:r>
      <w:r>
        <w:t xml:space="preserve">- </w:t>
      </w:r>
      <w:r>
        <w:rPr>
          <w:rFonts w:ascii="MS Mincho" w:eastAsia="MS Mincho" w:hAnsi="MS Mincho" w:cs="MS Mincho" w:hint="eastAsia"/>
        </w:rPr>
        <w:t>㉒</w:t>
      </w:r>
      <w:r>
        <w:t xml:space="preserve"> Country of residence and </w:t>
      </w:r>
      <w:r>
        <w:rPr>
          <w:rFonts w:ascii="MS Mincho" w:eastAsia="MS Mincho" w:hAnsi="MS Mincho" w:cs="MS Mincho" w:hint="eastAsia"/>
        </w:rPr>
        <w:t>㉓</w:t>
      </w:r>
      <w:r>
        <w:t xml:space="preserve"> Country of residence codes shall include the country abbreviation and country code of each country's ISO code as set by the International Organization for Standardization (ISO). However, if the shareholder's residence is Labuan, Malaysia, write down LM (if pre-approved for withholding special) or LN (if not pre-approved for withholding special).</w:t>
      </w:r>
      <w:r>
        <w:rPr>
          <w:rFonts w:hint="eastAsia"/>
        </w:rPr>
        <w:t xml:space="preserve"> </w:t>
      </w:r>
      <w:r>
        <w:t xml:space="preserve">10. </w:t>
      </w:r>
      <w:proofErr w:type="gramStart"/>
      <w:r>
        <w:t>For</w:t>
      </w:r>
      <w:proofErr w:type="gramEnd"/>
      <w:r>
        <w:t xml:space="preserve"> the fluctuation situation (from 33 to 33), write down the number of shares changed (investment quota) for each reason for increase or decrease.</w:t>
      </w:r>
      <w:r>
        <w:rPr>
          <w:rFonts w:hint="eastAsia"/>
        </w:rPr>
        <w:t xml:space="preserve"> </w:t>
      </w:r>
      <w:r>
        <w:t xml:space="preserve">- </w:t>
      </w:r>
      <w:r>
        <w:rPr>
          <w:rFonts w:ascii="MS Mincho" w:eastAsia="MS Mincho" w:hAnsi="MS Mincho" w:cs="MS Mincho" w:hint="eastAsia"/>
        </w:rPr>
        <w:t>㉗</w:t>
      </w:r>
      <w:r>
        <w:t xml:space="preserve"> In the paid-in capital increase column, write the number of shares (shareholding) increased according to the paid-in capital increase (shareholding) during the business year.</w:t>
      </w:r>
      <w:r>
        <w:rPr>
          <w:rFonts w:hint="eastAsia"/>
        </w:rPr>
        <w:t xml:space="preserve"> </w:t>
      </w:r>
      <w:r>
        <w:t xml:space="preserve">- </w:t>
      </w:r>
      <w:r>
        <w:rPr>
          <w:rFonts w:ascii="MS Mincho" w:eastAsia="MS Mincho" w:hAnsi="MS Mincho" w:cs="MS Mincho" w:hint="eastAsia"/>
        </w:rPr>
        <w:t>㉘</w:t>
      </w:r>
      <w:r>
        <w:t xml:space="preserve"> In the free capital increase column, the number of shares                    (shareholding) increased by capital transfer and stock dividends of capital reserves and revaluation reserves during the business year is written.</w:t>
      </w:r>
      <w:r>
        <w:rPr>
          <w:rFonts w:hint="eastAsia"/>
        </w:rPr>
        <w:t xml:space="preserve"> </w:t>
      </w:r>
      <w:r>
        <w:t xml:space="preserve">- </w:t>
      </w:r>
      <w:r>
        <w:rPr>
          <w:rFonts w:ascii="MS Mincho" w:eastAsia="MS Mincho" w:hAnsi="MS Mincho" w:cs="MS Mincho" w:hint="eastAsia"/>
        </w:rPr>
        <w:t>㉛</w:t>
      </w:r>
      <w:r>
        <w:t xml:space="preserve"> The investment conversion column, such as convertible bonds, describes the number of shares (shareholding) increased due to the conversion of corporate bonds such as in-kind investment, convertible</w:t>
      </w:r>
      <w:r>
        <w:rPr>
          <w:rFonts w:hint="eastAsia"/>
        </w:rPr>
        <w:t xml:space="preserve"> </w:t>
      </w:r>
      <w:r>
        <w:t>bonds, and bonds with underwriting rights during the business year.</w:t>
      </w:r>
      <w:r>
        <w:rPr>
          <w:rFonts w:hint="eastAsia"/>
        </w:rPr>
        <w:t xml:space="preserve"> </w:t>
      </w:r>
      <w:r>
        <w:t xml:space="preserve"> - In the real-name conversion column, such as -32 a</w:t>
      </w:r>
      <w:r>
        <w:t xml:space="preserve">nd 33 title trusts, </w:t>
      </w:r>
      <w:r>
        <w:t>write down the number of shares (shareholding) that have increased or decreased as the name of the real owner of the title trust stock is converted.</w:t>
      </w:r>
      <w:r>
        <w:rPr>
          <w:rFonts w:hint="eastAsia"/>
        </w:rPr>
        <w:t xml:space="preserve"> </w:t>
      </w:r>
      <w:r>
        <w:t>11. Relationship code with controlling shareholders (42)</w:t>
      </w:r>
      <w:r>
        <w:rPr>
          <w:rFonts w:hint="eastAsia"/>
        </w:rPr>
        <w:t xml:space="preserve"> </w:t>
      </w:r>
      <w:r>
        <w:t>- The controlling shareholder himself (00) refers to the person who has the largest total of shares (investment shares) owned by him and related parties among shareholders with more than 1% and the person who is the representative when the largest number is two or more.</w:t>
      </w:r>
      <w:r>
        <w:rPr>
          <w:rFonts w:hint="eastAsia"/>
        </w:rPr>
        <w:t xml:space="preserve"> </w:t>
      </w:r>
      <w:r>
        <w:t xml:space="preserve">- Other shareholders (investors) shall be written by referring to the relationship code with </w:t>
      </w:r>
      <w:r>
        <w:lastRenderedPageBreak/>
        <w:t>the controlling shareholder at the bottom of this form, and if the end date of the business year or the merger/division date is after February 2, 2012, relatives other than (01) to (07) shall be judged pursuant to Article 1-2 (1) 1 through 4 of the Enforcement Decree of the Framework Act on National Taxes, and related corporations (10) shall write down persons falling under (00) to (08) and corporations falling under Article 2-2 (1) 3 through 8 of the Enforcement Decree of the Inheritance Tax and Gift Tax Act.</w:t>
      </w:r>
      <w:r>
        <w:rPr>
          <w:rFonts w:hint="eastAsia"/>
        </w:rPr>
        <w:t xml:space="preserve"> </w:t>
      </w:r>
      <w:r>
        <w:rPr>
          <w:rFonts w:hint="eastAsia"/>
        </w:rPr>
        <w:t>※</w:t>
      </w:r>
      <w:r>
        <w:t xml:space="preserve"> Where the end date of the business year or the date of merger or division is before February 1, 2012, relatives other than (01) to (07) shall be judged pursuant to Article 20 of the Enforcement Decree of the former Framework Act on National Taxes (December 30, 2010, No. 22572), and the related corporation (10) shall write down the persons falling under (00) to (08) and the corporations falling under Article 19 (2) 3 through 8 of the former Enforcement Decree of the Inheritance Tax and Gift Tax </w:t>
      </w:r>
      <w:r>
        <w:t>Act (July 25, 2011, No. 23040).</w:t>
      </w:r>
      <w:r>
        <w:rPr>
          <w:rFonts w:hint="eastAsia"/>
        </w:rPr>
        <w:t xml:space="preserve"> </w:t>
      </w:r>
      <w:r>
        <w:t>- Others (09) write down shareholders in relationships that do not fall under the above.</w:t>
      </w:r>
      <w:r>
        <w:rPr>
          <w:rFonts w:hint="eastAsia"/>
        </w:rPr>
        <w:t xml:space="preserve"> </w:t>
      </w:r>
      <w:r>
        <w:t xml:space="preserve">12. </w:t>
      </w:r>
      <w:r>
        <w:rPr>
          <w:rFonts w:ascii="MS Mincho" w:eastAsia="MS Mincho" w:hAnsi="MS Mincho" w:cs="MS Mincho" w:hint="eastAsia"/>
        </w:rPr>
        <w:t>㊸</w:t>
      </w:r>
      <w:r>
        <w:t xml:space="preserve"> In the treasury stock column, enter the total number of treasury stocks held as of the end of the business year (the unit is the state).</w:t>
      </w:r>
      <w:r>
        <w:rPr>
          <w:rFonts w:hint="eastAsia"/>
        </w:rPr>
        <w:t xml:space="preserve"> </w:t>
      </w:r>
      <w:r>
        <w:t xml:space="preserve"> - </w:t>
      </w:r>
      <w:r>
        <w:rPr>
          <w:rFonts w:ascii="MS Mincho" w:eastAsia="MS Mincho" w:hAnsi="MS Mincho" w:cs="MS Mincho" w:hint="eastAsia"/>
        </w:rPr>
        <w:t>㊹</w:t>
      </w:r>
      <w:r>
        <w:t xml:space="preserve"> In the treasury stock column for incineration purposes, write the</w:t>
      </w:r>
      <w:r>
        <w:rPr>
          <w:rFonts w:hint="eastAsia"/>
        </w:rPr>
        <w:t xml:space="preserve"> </w:t>
      </w:r>
      <w:r>
        <w:t>quantity of treasury stocks if classified for in</w:t>
      </w:r>
      <w:r>
        <w:t xml:space="preserve">cineration purposes, and in </w:t>
      </w:r>
      <w:r>
        <w:t xml:space="preserve">the treasury stock column other than incineration purposes, </w:t>
      </w:r>
      <w:r>
        <w:rPr>
          <w:rFonts w:ascii="MS Mincho" w:eastAsia="MS Mincho" w:hAnsi="MS Mincho" w:cs="MS Mincho" w:hint="eastAsia"/>
        </w:rPr>
        <w:t>㊻</w:t>
      </w:r>
      <w:r>
        <w:t xml:space="preserve"> write the </w:t>
      </w:r>
      <w:bookmarkStart w:id="0" w:name="_GoBack"/>
      <w:bookmarkEnd w:id="0"/>
      <w:r>
        <w:t>quantity of treasury stocks held for non-incineration purposes.</w:t>
      </w:r>
    </w:p>
    <w:p w:rsidR="00DE4E31" w:rsidRDefault="00DE4E31" w:rsidP="00DE4E31"/>
    <w:p w:rsidR="00FA4CFF" w:rsidRPr="00DE4E31" w:rsidRDefault="00FA4CFF" w:rsidP="00DE4E31"/>
    <w:sectPr w:rsidR="00FA4CFF" w:rsidRPr="00DE4E3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813" w:rsidRDefault="00610813" w:rsidP="009F7E55">
      <w:pPr>
        <w:spacing w:after="0" w:line="240" w:lineRule="auto"/>
      </w:pPr>
      <w:r>
        <w:separator/>
      </w:r>
    </w:p>
  </w:endnote>
  <w:endnote w:type="continuationSeparator" w:id="0">
    <w:p w:rsidR="00610813" w:rsidRDefault="00610813" w:rsidP="009F7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813" w:rsidRDefault="00610813" w:rsidP="009F7E55">
      <w:pPr>
        <w:spacing w:after="0" w:line="240" w:lineRule="auto"/>
      </w:pPr>
      <w:r>
        <w:separator/>
      </w:r>
    </w:p>
  </w:footnote>
  <w:footnote w:type="continuationSeparator" w:id="0">
    <w:p w:rsidR="00610813" w:rsidRDefault="00610813" w:rsidP="009F7E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026"/>
    <w:rsid w:val="001A0DCD"/>
    <w:rsid w:val="00260E6C"/>
    <w:rsid w:val="00336026"/>
    <w:rsid w:val="003B0E33"/>
    <w:rsid w:val="00610813"/>
    <w:rsid w:val="006123F4"/>
    <w:rsid w:val="009F7E55"/>
    <w:rsid w:val="00D40FF9"/>
    <w:rsid w:val="00DE4E31"/>
    <w:rsid w:val="00E62937"/>
    <w:rsid w:val="00FA4C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7E55"/>
    <w:pPr>
      <w:tabs>
        <w:tab w:val="center" w:pos="4513"/>
        <w:tab w:val="right" w:pos="9026"/>
      </w:tabs>
      <w:snapToGrid w:val="0"/>
    </w:pPr>
  </w:style>
  <w:style w:type="character" w:customStyle="1" w:styleId="Char">
    <w:name w:val="머리글 Char"/>
    <w:basedOn w:val="a0"/>
    <w:link w:val="a3"/>
    <w:uiPriority w:val="99"/>
    <w:rsid w:val="009F7E55"/>
  </w:style>
  <w:style w:type="paragraph" w:styleId="a4">
    <w:name w:val="footer"/>
    <w:basedOn w:val="a"/>
    <w:link w:val="Char0"/>
    <w:uiPriority w:val="99"/>
    <w:unhideWhenUsed/>
    <w:rsid w:val="009F7E55"/>
    <w:pPr>
      <w:tabs>
        <w:tab w:val="center" w:pos="4513"/>
        <w:tab w:val="right" w:pos="9026"/>
      </w:tabs>
      <w:snapToGrid w:val="0"/>
    </w:pPr>
  </w:style>
  <w:style w:type="character" w:customStyle="1" w:styleId="Char0">
    <w:name w:val="바닥글 Char"/>
    <w:basedOn w:val="a0"/>
    <w:link w:val="a4"/>
    <w:uiPriority w:val="99"/>
    <w:rsid w:val="009F7E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7E55"/>
    <w:pPr>
      <w:tabs>
        <w:tab w:val="center" w:pos="4513"/>
        <w:tab w:val="right" w:pos="9026"/>
      </w:tabs>
      <w:snapToGrid w:val="0"/>
    </w:pPr>
  </w:style>
  <w:style w:type="character" w:customStyle="1" w:styleId="Char">
    <w:name w:val="머리글 Char"/>
    <w:basedOn w:val="a0"/>
    <w:link w:val="a3"/>
    <w:uiPriority w:val="99"/>
    <w:rsid w:val="009F7E55"/>
  </w:style>
  <w:style w:type="paragraph" w:styleId="a4">
    <w:name w:val="footer"/>
    <w:basedOn w:val="a"/>
    <w:link w:val="Char0"/>
    <w:uiPriority w:val="99"/>
    <w:unhideWhenUsed/>
    <w:rsid w:val="009F7E55"/>
    <w:pPr>
      <w:tabs>
        <w:tab w:val="center" w:pos="4513"/>
        <w:tab w:val="right" w:pos="9026"/>
      </w:tabs>
      <w:snapToGrid w:val="0"/>
    </w:pPr>
  </w:style>
  <w:style w:type="character" w:customStyle="1" w:styleId="Char0">
    <w:name w:val="바닥글 Char"/>
    <w:basedOn w:val="a0"/>
    <w:link w:val="a4"/>
    <w:uiPriority w:val="99"/>
    <w:rsid w:val="009F7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700</Words>
  <Characters>3995</Characters>
  <Application>Microsoft Office Word</Application>
  <DocSecurity>0</DocSecurity>
  <Lines>33</Lines>
  <Paragraphs>9</Paragraphs>
  <ScaleCrop>false</ScaleCrop>
  <Company/>
  <LinksUpToDate>false</LinksUpToDate>
  <CharactersWithSpaces>4686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2023-10-15T18:57:00Z</dcterms:created>
  <dcterms:modified xsi:type="dcterms:W3CDTF">2023-10-15T20:01:00Z</dcterms:modified>
</cp:coreProperties>
</file>