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800" w:hanging="360"/>
        <w:rPr/>
      </w:pPr>
      <w:r w:rsidDel="00000000" w:rsidR="00000000" w:rsidRPr="00000000">
        <w:rPr>
          <w:rtl w:val="0"/>
        </w:rPr>
        <w:t xml:space="preserve">&lt;bof&gt;</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ind w:left="800" w:hanging="360"/>
        <w:rPr/>
      </w:pPr>
      <w:r w:rsidDel="00000000" w:rsidR="00000000" w:rsidRPr="00000000">
        <w:rPr>
          <w:color w:val="000000"/>
          <w:rtl w:val="0"/>
        </w:rPr>
        <w:t xml:space="preserve">[%1] (#1 법인세신고 관련 자료의 작성</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제출)(#2 법인세신고 관련 자료의 작성</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제출)(#3 Preparation and submission of corporate tax declaration-related documents)[n]</w:t>
      </w:r>
      <w:r w:rsidDel="00000000" w:rsidR="00000000" w:rsidRPr="00000000">
        <w:rPr>
          <w:rtl w:val="0"/>
        </w:rPr>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ind w:left="1320" w:hanging="440"/>
        <w:rPr/>
      </w:pPr>
      <w:r w:rsidDel="00000000" w:rsidR="00000000" w:rsidRPr="00000000">
        <w:rPr>
          <w:color w:val="000000"/>
          <w:rtl w:val="0"/>
        </w:rPr>
        <w:t xml:space="preserve">[%2](#1 전환사채 등 발행 및 인수인 명세서 제출 안내)(#2 사채를 주식으로 전환할 수 있는 권리가 있는 사채에 대한 발행 명세서 및 인수인 명세서 제출 안내)(#3 Guidelines for submitting issuance statements and subscriber statements for convertible bonds with rights to convert into shares) [n]</w:t>
      </w:r>
      <w:r w:rsidDel="00000000" w:rsidR="00000000" w:rsidRPr="00000000">
        <w:rPr>
          <w:rtl w:val="0"/>
        </w:rPr>
      </w:r>
    </w:p>
    <w:p w:rsidR="00000000" w:rsidDel="00000000" w:rsidP="00000000" w:rsidRDefault="00000000" w:rsidRPr="00000000" w14:paraId="00000004">
      <w:pPr>
        <w:numPr>
          <w:ilvl w:val="2"/>
          <w:numId w:val="1"/>
        </w:numPr>
        <w:pBdr>
          <w:top w:space="0" w:sz="0" w:val="nil"/>
          <w:left w:space="0" w:sz="0" w:val="nil"/>
          <w:bottom w:space="0" w:sz="0" w:val="nil"/>
          <w:right w:space="0" w:sz="0" w:val="nil"/>
          <w:between w:space="0" w:sz="0" w:val="nil"/>
        </w:pBdr>
        <w:ind w:left="1760" w:hanging="440"/>
        <w:rPr/>
      </w:pPr>
      <w:r w:rsidDel="00000000" w:rsidR="00000000" w:rsidRPr="00000000">
        <w:rPr>
          <w:color w:val="000000"/>
          <w:rtl w:val="0"/>
        </w:rPr>
        <w:t xml:space="preserve">[3](#1 전환사채등이란)(#2 전환사채등이란)(#3 What are convertible bonds?)[n]</w:t>
      </w:r>
      <w:r w:rsidDel="00000000" w:rsidR="00000000" w:rsidRPr="00000000">
        <w:rPr>
          <w:rtl w:val="0"/>
        </w:rPr>
      </w:r>
    </w:p>
    <w:p w:rsidR="00000000" w:rsidDel="00000000" w:rsidP="00000000" w:rsidRDefault="00000000" w:rsidRPr="00000000" w14:paraId="00000005">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color w:val="000000"/>
          <w:rtl w:val="0"/>
        </w:rPr>
        <w:t xml:space="preserve">{1}(#1 전환사채, 신주인수권부사채 (신주인수권증권이 분리된 경우에는 신주인수권 증권) 또는 그 밖의 주식으로 전환</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교환하거나 주식을 인수할 수 있는 권리가 부여된 사채)(#2 사채를 주식으로 전환할 수 있는 사채, 주식을 인수할 수 있는 권리가 있는 사채입니다.)(#3 Convertible bonds are bonds that can be converted into shares, and they grant the right to subscribe to shares.){r4&lt;n&gt;,r5&lt;n&gt;}</w:t>
      </w:r>
      <w:r w:rsidDel="00000000" w:rsidR="00000000" w:rsidRPr="00000000">
        <w:rPr>
          <w:rtl w:val="0"/>
        </w:rPr>
      </w:r>
    </w:p>
    <w:p w:rsidR="00000000" w:rsidDel="00000000" w:rsidP="00000000" w:rsidRDefault="00000000" w:rsidRPr="00000000" w14:paraId="00000006">
      <w:pPr>
        <w:numPr>
          <w:ilvl w:val="2"/>
          <w:numId w:val="1"/>
        </w:numPr>
        <w:pBdr>
          <w:top w:space="0" w:sz="0" w:val="nil"/>
          <w:left w:space="0" w:sz="0" w:val="nil"/>
          <w:bottom w:space="0" w:sz="0" w:val="nil"/>
          <w:right w:space="0" w:sz="0" w:val="nil"/>
          <w:between w:space="0" w:sz="0" w:val="nil"/>
        </w:pBdr>
        <w:ind w:left="1760" w:hanging="440"/>
        <w:rPr/>
      </w:pPr>
      <w:r w:rsidDel="00000000" w:rsidR="00000000" w:rsidRPr="00000000">
        <w:rPr>
          <w:color w:val="000000"/>
          <w:rtl w:val="0"/>
        </w:rPr>
        <w:t xml:space="preserve">[4](#1 전환사채 등 발행 및 인수인 명세서 제출의무)(#2 사채를 주식으로 전환할 수 있는 권리가 있는 사채 등 발행 및 인수인 명세서 제출의무)(#3 Obligation to submit issuance and subscriber statements for convertible bonds and similar bonds with the right to convert into shares)[n]</w:t>
      </w:r>
      <w:r w:rsidDel="00000000" w:rsidR="00000000" w:rsidRPr="00000000">
        <w:rPr>
          <w:rtl w:val="0"/>
        </w:rPr>
      </w:r>
    </w:p>
    <w:p w:rsidR="00000000" w:rsidDel="00000000" w:rsidP="00000000" w:rsidRDefault="00000000" w:rsidRPr="00000000" w14:paraId="00000007">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color w:val="000000"/>
          <w:rtl w:val="0"/>
        </w:rPr>
        <w:t xml:space="preserve">{1}(#1 2001.1.1. 이후 전환사채 등을 발행하는 법인은 그 전환사채 등의 발행 및 인수인의 구체적 사항을 관할세무서에 제출하여야 합니다.(상속세 및 증여세법§82⑥(지급명세서 등의 제출))(#2 사채를 주식으로 전환할 수 있는 권리가 있는 사채를 발행하는 법인은 누가 인수하는지 등의 구체적 사항을 작성하여 관할세무서에 제출하여야 합니다.)(#3 Corporations issuing convertible bonds must provide specific information, such as who will be subscribing, and submit it to the relevant tax office.)){e3&lt;n&gt;,r4&lt;n&gt;,r5&lt;n&gt;,r6&lt;n&gt;,r7&lt;n&gt;}</w:t>
      </w:r>
      <w:r w:rsidDel="00000000" w:rsidR="00000000" w:rsidRPr="00000000">
        <w:rPr>
          <w:rtl w:val="0"/>
        </w:rPr>
      </w:r>
    </w:p>
    <w:p w:rsidR="00000000" w:rsidDel="00000000" w:rsidP="00000000" w:rsidRDefault="00000000" w:rsidRPr="00000000" w14:paraId="00000008">
      <w:pPr>
        <w:numPr>
          <w:ilvl w:val="2"/>
          <w:numId w:val="1"/>
        </w:numPr>
        <w:pBdr>
          <w:top w:space="0" w:sz="0" w:val="nil"/>
          <w:left w:space="0" w:sz="0" w:val="nil"/>
          <w:bottom w:space="0" w:sz="0" w:val="nil"/>
          <w:right w:space="0" w:sz="0" w:val="nil"/>
          <w:between w:space="0" w:sz="0" w:val="nil"/>
        </w:pBdr>
        <w:ind w:left="1760" w:hanging="440"/>
        <w:rPr/>
      </w:pPr>
      <w:r w:rsidDel="00000000" w:rsidR="00000000" w:rsidRPr="00000000">
        <w:rPr>
          <w:color w:val="000000"/>
          <w:rtl w:val="0"/>
        </w:rPr>
        <w:t xml:space="preserve">[5](#1 제출의무자)(#2 제출의무자)(#3 Obligated party to submit)[T,r3&lt;n&gt;,r4&lt;n&gt;,r6&lt;n&gt;]</w:t>
      </w:r>
      <w:r w:rsidDel="00000000" w:rsidR="00000000" w:rsidRPr="00000000">
        <w:rPr>
          <w:rtl w:val="0"/>
        </w:rPr>
      </w:r>
    </w:p>
    <w:p w:rsidR="00000000" w:rsidDel="00000000" w:rsidP="00000000" w:rsidRDefault="00000000" w:rsidRPr="00000000" w14:paraId="00000009">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{1}(#1 =전환사채 등을 발행한 법인(다만, ｢자본시장과 금융투자업에 관한 법률｣에 따른 주권상장법인으로서 같은 법§9⑦에 따른 유가증권의 모집방법으로 전환사채 등을 발행하는 법인은 제외))(#2 =사채를 주식으로 전환할 수 있는 권리가 있는 사채 등을 발행한 법인. 단, 다수의 투자자에게 청약을 권유하는 방법으로 인수인을 모집하는 법인은 제외됩니다.)(#3 =Corporations that issue convertible bonds or similar bonds with the right to convert into shares. However, corporations that solicit subscribers from multiple investors are excluded.){n}</w:t>
      </w:r>
    </w:p>
    <w:p w:rsidR="00000000" w:rsidDel="00000000" w:rsidP="00000000" w:rsidRDefault="00000000" w:rsidRPr="00000000" w14:paraId="0000000A">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{2}(#1 =｢자본시장과 금융투자업에 관한 법률｣ §9⑦에 의한 유가증권의 모집방법은 公募발행 (50인 이상의 불특정 투자자의 모집･청약으로 발행하는 회사채)을 의미함)(#2 =50인 이상의 불특정 투자자에 청약을 권유하는 방식으로 인수인을 모집할 경우에 특정인이 아닌 일반인을 대상으로 해야합니다.)(#3 =When soliciting subscribers from 50 or more unspecified investors, the subscribers must be general individuals, not specific individuals.){n}</w:t>
      </w:r>
    </w:p>
    <w:p w:rsidR="00000000" w:rsidDel="00000000" w:rsidP="00000000" w:rsidRDefault="00000000" w:rsidRPr="00000000" w14:paraId="0000000B">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{3}(#1 =전환사채 등을 발행한 법인이 전환사채 등을 증권회사를 통하여 매출하는 경우에 인수인(증권회사)은 제출의무가 있음(2004.1.1. 이후).)(#2 =사채를 주식으로 전환할 수 있는 권리가 있는 사채를 발행한 법인이 증권회사를 통하여 투자자를 모집하는 경우에 증권회사는 인수인 명세서 제출의무가 있습니다.)(#3 =When a corporation issuing convertible bonds recruits investors through a securities company, the securities company has an obligation to submit subscriber statements.){n}</w:t>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ind w:left="1760" w:hanging="440"/>
        <w:rPr/>
      </w:pPr>
      <w:r w:rsidDel="00000000" w:rsidR="00000000" w:rsidRPr="00000000">
        <w:rPr>
          <w:color w:val="000000"/>
          <w:rtl w:val="0"/>
        </w:rPr>
        <w:t xml:space="preserve">[6](#1 </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전환사채등발행및인수자 명세서</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 (상속세및증여세법 시행규칙 별지 제21호의2 서식)제출)(#2 </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전환사채등발행및인수자 명세서</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 (상속세및증여세법 시행규칙 별지 제21호의2 서식)제출)(#3 Submission of "Convertible Bonds Issuance and Subscriber Statement" (Form No. 21-2 of the Enforcement Rules of the Inheritance Tax and Gift Tax Act))[T,r4&lt;n&gt;]</w:t>
      </w:r>
      <w:r w:rsidDel="00000000" w:rsidR="00000000" w:rsidRPr="00000000">
        <w:rPr>
          <w:rtl w:val="0"/>
        </w:rPr>
      </w:r>
    </w:p>
    <w:p w:rsidR="00000000" w:rsidDel="00000000" w:rsidP="00000000" w:rsidRDefault="00000000" w:rsidRPr="00000000" w14:paraId="0000000D">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{1}(#1 =제출의무 위반시 가산세 적용(법인세 산출세액이 없어도 가산하여 징수))(#2 =제출의무 위반시 가산세가 적용됩니다.(납부할 세금이 없더라도 가산세는 납부해야합니다.))(#3 =Non-compliance with the submission obligation may result in penalty tax being applied (even if there is no tax to be paid, penalty tax must be paid).){n}</w:t>
      </w:r>
    </w:p>
    <w:p w:rsidR="00000000" w:rsidDel="00000000" w:rsidP="00000000" w:rsidRDefault="00000000" w:rsidRPr="00000000" w14:paraId="0000000E">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{2}(#1 =전환사채 등 발행 및 인수인 내역 미제출(누락･불분명) 시에는 미제출 (누락･불분명)분에 해당하는 금액의 0.2%에 해당하는 금액을 법인세에 가산하여 징수)(#2 =사채를 주식으로 전환할 수 있는 권리가 있는 사채의 발행내역 및 인수인 내역을 제출하지 않거나 잘못 기재하여 제출하는 경우에 제출하지 않거나 잘못 기재한 금액의 0.2%에 해당하는 금액을 가산세로 납부해야합니다.)(#3 =In cases where the issuance details and subscriber details of convertible bonds are not submitted or incorrectly stated, a penalty tax equal to 0.2% of the unreported or incorrectly stated amount must be paid.){n}</w:t>
      </w:r>
    </w:p>
    <w:p w:rsidR="00000000" w:rsidDel="00000000" w:rsidP="00000000" w:rsidRDefault="00000000" w:rsidRPr="00000000" w14:paraId="0000000F">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{3}(#1 =제출기한 경과 후 1개월 이내 제출시 0.1% 적용)(#2 =제출기한 경과 후 1개월 이내 제출시 0.1%의 가산세율을 적용합니다.)(#3 =A penalty tax rate of 0.1% applies if the submission is made within one month after the submission deadline has passed.){n}</w:t>
      </w:r>
    </w:p>
    <w:p w:rsidR="00000000" w:rsidDel="00000000" w:rsidP="00000000" w:rsidRDefault="00000000" w:rsidRPr="00000000" w14:paraId="00000010">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{4}(#1 =한도액 5천만원 적용(단, ｢중소기업법｣§2①에 따른 중소기업이 아닌 기업은 1억원))(#2 =가산세의 한도는 5천만원이며 중소기업이 아닌 기업은 가산세 한도가 1억원입니다.)(#3 =The penalty tax limit is KRW 50 million, and for non-small and medium-sized enterprises, the penalty tax limit is KRW 100 million.){n}</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ind w:left="1760" w:hanging="440"/>
        <w:rPr/>
      </w:pPr>
      <w:r w:rsidDel="00000000" w:rsidR="00000000" w:rsidRPr="00000000">
        <w:rPr>
          <w:color w:val="000000"/>
          <w:rtl w:val="0"/>
        </w:rPr>
        <w:t xml:space="preserve">[7](#1 제출시기 및 방법)(#2 제출시기 및 방법)(#3 When and how to submit)[T,r4&lt;n&gt;]</w:t>
      </w:r>
      <w:r w:rsidDel="00000000" w:rsidR="00000000" w:rsidRPr="00000000">
        <w:rPr>
          <w:rtl w:val="0"/>
        </w:rPr>
      </w:r>
    </w:p>
    <w:p w:rsidR="00000000" w:rsidDel="00000000" w:rsidP="00000000" w:rsidRDefault="00000000" w:rsidRPr="00000000" w14:paraId="00000012">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color w:val="000000"/>
          <w:rtl w:val="0"/>
        </w:rPr>
        <w:t xml:space="preserve">[7x1] (#1 전환사채 등 발행 및 인수인 명세서 제출시기)(#2 사채를 주식으로 전환할 수 있는 권리가 있는 사채 발행 명세서 및 인수인 명세서 제출시기)(#3 Timing for submitting issuance statements and subscriber statements for convertible bonds)[n]</w:t>
      </w:r>
      <w:r w:rsidDel="00000000" w:rsidR="00000000" w:rsidRPr="00000000">
        <w:rPr>
          <w:rtl w:val="0"/>
        </w:rPr>
      </w:r>
    </w:p>
    <w:p w:rsidR="00000000" w:rsidDel="00000000" w:rsidP="00000000" w:rsidRDefault="00000000" w:rsidRPr="00000000" w14:paraId="00000013">
      <w:pPr>
        <w:numPr>
          <w:ilvl w:val="4"/>
          <w:numId w:val="1"/>
        </w:numPr>
        <w:pBdr>
          <w:top w:space="0" w:sz="0" w:val="nil"/>
          <w:left w:space="0" w:sz="0" w:val="nil"/>
          <w:bottom w:space="0" w:sz="0" w:val="nil"/>
          <w:right w:space="0" w:sz="0" w:val="nil"/>
          <w:between w:space="0" w:sz="0" w:val="nil"/>
        </w:pBdr>
        <w:ind w:left="2640" w:hanging="440"/>
        <w:rPr/>
      </w:pPr>
      <w:r w:rsidDel="00000000" w:rsidR="00000000" w:rsidRPr="00000000">
        <w:rPr>
          <w:color w:val="000000"/>
          <w:rtl w:val="0"/>
        </w:rPr>
        <w:t xml:space="preserve">{1}(#1 전환사채 등을 발행한 날이 속하는 분기 종료일의 다음 달 말일까지)(#2 사채를 주식으로 전환할 수 있는 권리가 있는 사채를 발행한 날이 속하는 분기 종료일의 다음 달 말일까지 제출해야 합니다.(1분기는 5월31일, 2분기는 7월31일 3분기는 10월31일 4분기는 1월31일))(#3 These statements must be submitted by the end of the month following the end of the quarter in which the issuance date of convertible bonds falls (1st quarter: May 31, 2nd quarter: July 31, 3rd quarter: October 31, 4th quarter: January 31).){n}</w:t>
      </w:r>
      <w:r w:rsidDel="00000000" w:rsidR="00000000" w:rsidRPr="00000000">
        <w:rPr>
          <w:rtl w:val="0"/>
        </w:rPr>
      </w:r>
    </w:p>
    <w:p w:rsidR="00000000" w:rsidDel="00000000" w:rsidP="00000000" w:rsidRDefault="00000000" w:rsidRPr="00000000" w14:paraId="00000014">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color w:val="000000"/>
          <w:rtl w:val="0"/>
        </w:rPr>
        <w:t xml:space="preserve">[7x2] (#1 전환사채 등 발행 및 인수인 명세서 제출방법)(#2 사채를 주식으로 전환할 수 있는 권리가 있는 사채 발행 명세서 및 인수인 명세서 제출방법)(#3 Method of submitting issuance statements and subscriber statements for convertible bonds)[n]</w:t>
      </w:r>
      <w:r w:rsidDel="00000000" w:rsidR="00000000" w:rsidRPr="00000000">
        <w:rPr>
          <w:rtl w:val="0"/>
        </w:rPr>
      </w:r>
    </w:p>
    <w:p w:rsidR="00000000" w:rsidDel="00000000" w:rsidP="00000000" w:rsidRDefault="00000000" w:rsidRPr="00000000" w14:paraId="00000015">
      <w:pPr>
        <w:numPr>
          <w:ilvl w:val="4"/>
          <w:numId w:val="1"/>
        </w:numPr>
        <w:pBdr>
          <w:top w:space="0" w:sz="0" w:val="nil"/>
          <w:left w:space="0" w:sz="0" w:val="nil"/>
          <w:bottom w:space="0" w:sz="0" w:val="nil"/>
          <w:right w:space="0" w:sz="0" w:val="nil"/>
          <w:between w:space="0" w:sz="0" w:val="nil"/>
        </w:pBdr>
        <w:ind w:left="2640" w:hanging="440"/>
        <w:rPr/>
      </w:pPr>
      <w:r w:rsidDel="00000000" w:rsidR="00000000" w:rsidRPr="00000000">
        <w:rPr>
          <w:color w:val="000000"/>
          <w:rtl w:val="0"/>
        </w:rPr>
        <w:t xml:space="preserve">{1}(#1 법인(자본시장과 금융투자업에 관한 법률에 따른 인수인 포함)의 본점 또는 주된 사무소의 소재지를 관할하는 세무서에 제출)(#2 법인의 본점이 속한 세무서에 제출해야합니다.)(#3 These statements must be submitted to the tax office where the corporation's main office is located.){n}</w:t>
      </w:r>
      <w:r w:rsidDel="00000000" w:rsidR="00000000" w:rsidRPr="00000000">
        <w:rPr>
          <w:rtl w:val="0"/>
        </w:rPr>
      </w:r>
    </w:p>
    <w:p w:rsidR="00000000" w:rsidDel="00000000" w:rsidP="00000000" w:rsidRDefault="00000000" w:rsidRPr="00000000" w14:paraId="00000016">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color w:val="000000"/>
          <w:rtl w:val="0"/>
        </w:rPr>
        <w:t xml:space="preserve">[7x3](#1 주주의 변동이나 주주별 출자금액 변동이 있는 경우)(#2 주주의 변동이 있는 경우)(#3 In the event of changes in shareholders)[n]</w:t>
      </w:r>
      <w:r w:rsidDel="00000000" w:rsidR="00000000" w:rsidRPr="00000000">
        <w:rPr>
          <w:rtl w:val="0"/>
        </w:rPr>
      </w:r>
    </w:p>
    <w:p w:rsidR="00000000" w:rsidDel="00000000" w:rsidP="00000000" w:rsidRDefault="00000000" w:rsidRPr="00000000" w14:paraId="00000017">
      <w:pPr>
        <w:numPr>
          <w:ilvl w:val="4"/>
          <w:numId w:val="1"/>
        </w:numPr>
        <w:pBdr>
          <w:top w:space="0" w:sz="0" w:val="nil"/>
          <w:left w:space="0" w:sz="0" w:val="nil"/>
          <w:bottom w:space="0" w:sz="0" w:val="nil"/>
          <w:right w:space="0" w:sz="0" w:val="nil"/>
          <w:between w:space="0" w:sz="0" w:val="nil"/>
        </w:pBdr>
        <w:ind w:left="2640" w:hanging="440"/>
        <w:rPr/>
      </w:pPr>
      <w:r w:rsidDel="00000000" w:rsidR="00000000" w:rsidRPr="00000000">
        <w:rPr>
          <w:color w:val="000000"/>
          <w:rtl w:val="0"/>
        </w:rPr>
        <w:t xml:space="preserve">{1}(#1 전환사채 등이 당해 법인의 주식으로 전환</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교환되어 주주(사원</w:t>
      </w:r>
      <w:r w:rsidDel="00000000" w:rsidR="00000000" w:rsidRPr="00000000">
        <w:rPr>
          <w:rFonts w:ascii="MS Mincho" w:cs="MS Mincho" w:eastAsia="MS Mincho" w:hAnsi="MS Mincho"/>
          <w:color w:val="000000"/>
          <w:rtl w:val="0"/>
        </w:rPr>
        <w:t xml:space="preserve">･</w:t>
      </w:r>
      <w:r w:rsidDel="00000000" w:rsidR="00000000" w:rsidRPr="00000000">
        <w:rPr>
          <w:color w:val="000000"/>
          <w:rtl w:val="0"/>
        </w:rPr>
        <w:t xml:space="preserve">출자자 등 포함)의 변동이나 주주별 출자금액의 변동이 있는 법인은 주식등변동상황명세서(갑) 29항 전환사채 등 출자전환란에 증가 주식수를 기재, 제출하여야 합니다.)(#2 사채를 주식으로 전환할 수 있는 권리가 있는 사채가 주식으로 전환되어 주주의 변동이 있는 법인은 명세서의 출자전환란에 증가한 주식수를 기재하여 제출하여야 합니다.)(#3 Corporations with changes in shareholders due to the conversion of convertible bonds into shares with the right to convert must include the increased number of shares in the capital conversion section of the statement and submit it.){n}</w:t>
      </w:r>
      <w:r w:rsidDel="00000000" w:rsidR="00000000" w:rsidRPr="00000000">
        <w:rPr>
          <w:rtl w:val="0"/>
        </w:rPr>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ind w:left="1760" w:hanging="440"/>
        <w:rPr/>
      </w:pPr>
      <w:r w:rsidDel="00000000" w:rsidR="00000000" w:rsidRPr="00000000">
        <w:rPr>
          <w:color w:val="000000"/>
          <w:rtl w:val="0"/>
        </w:rPr>
        <w:t xml:space="preserve">[8](#1 서식(</w:t>
      </w:r>
      <w:r w:rsidDel="00000000" w:rsidR="00000000" w:rsidRPr="00000000">
        <w:rPr>
          <w:rtl w:val="0"/>
        </w:rPr>
        <w:t xml:space="preserve">상속세 및 증여세법 시행규칙(별지 제21호의2서식))</w:t>
      </w:r>
      <w:r w:rsidDel="00000000" w:rsidR="00000000" w:rsidRPr="00000000">
        <w:rPr>
          <w:color w:val="000000"/>
          <w:rtl w:val="0"/>
        </w:rPr>
        <w:t xml:space="preserve">)(#2 서식(</w:t>
      </w:r>
      <w:r w:rsidDel="00000000" w:rsidR="00000000" w:rsidRPr="00000000">
        <w:rPr>
          <w:rtl w:val="0"/>
        </w:rPr>
        <w:t xml:space="preserve">상속세 및 증여세법 시행규칙(별지 제21호의2서식)))(#3 Form (Enforcement Rules of the Inheritance Tax and Gift Tax Act, Form No. 21-2))</w:t>
      </w:r>
      <w:r w:rsidDel="00000000" w:rsidR="00000000" w:rsidRPr="00000000">
        <w:rPr>
          <w:color w:val="000000"/>
          <w:rtl w:val="0"/>
        </w:rPr>
        <w:t xml:space="preserve">[T,r4&lt;n&gt;,r6&lt;n&gt;]</w:t>
      </w:r>
      <w:r w:rsidDel="00000000" w:rsidR="00000000" w:rsidRPr="00000000">
        <w:rPr>
          <w:rtl w:val="0"/>
        </w:rPr>
      </w:r>
    </w:p>
    <w:p w:rsidR="00000000" w:rsidDel="00000000" w:rsidP="00000000" w:rsidRDefault="00000000" w:rsidRPr="00000000" w14:paraId="00000019">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[9](#1 $(전환사채등 발행 및 인수인 명세서_앞쪽))(#2 $(전환사채등 발행 및 인수인 명세서_앞쪽))(#3 $(Convertible Bonds Issuance and Subscriber Statement - Front Page))[n]</w:t>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2640" w:firstLine="0"/>
        <w:rPr>
          <w:color w:val="000000"/>
        </w:rPr>
      </w:pPr>
      <w:r w:rsidDel="00000000" w:rsidR="00000000" w:rsidRPr="00000000">
        <w:rPr>
          <w:color w:val="000000"/>
          <w:rtl w:val="0"/>
        </w:rPr>
        <w:t xml:space="preserve">{1}</w:t>
      </w:r>
      <w:r w:rsidDel="00000000" w:rsidR="00000000" w:rsidRPr="00000000">
        <w:rPr>
          <w:color w:val="000000"/>
        </w:rPr>
        <w:drawing>
          <wp:inline distB="0" distT="0" distL="0" distR="0">
            <wp:extent cx="3014152" cy="3949579"/>
            <wp:effectExtent b="0" l="0" r="0" t="0"/>
            <wp:docPr descr="텍스트, 영수증, 번호, 폰트이(가) 표시된 사진&#10;&#10;자동 생성된 설명" id="1350821394" name="image1.png"/>
            <a:graphic>
              <a:graphicData uri="http://schemas.openxmlformats.org/drawingml/2006/picture">
                <pic:pic>
                  <pic:nvPicPr>
                    <pic:cNvPr descr="텍스트, 영수증, 번호, 폰트이(가) 표시된 사진&#10;&#10;자동 생성된 설명" id="0" name="image1.png"/>
                    <pic:cNvPicPr preferRelativeResize="0"/>
                  </pic:nvPicPr>
                  <pic:blipFill>
                    <a:blip r:embed="rId7"/>
                    <a:srcRect b="0" l="0" r="0" t="0"/>
                    <a:stretch>
                      <a:fillRect/>
                    </a:stretch>
                  </pic:blipFill>
                  <pic:spPr>
                    <a:xfrm>
                      <a:off x="0" y="0"/>
                      <a:ext cx="3014152" cy="3949579"/>
                    </a:xfrm>
                    <a:prstGeom prst="rect"/>
                    <a:ln/>
                  </pic:spPr>
                </pic:pic>
              </a:graphicData>
            </a:graphic>
          </wp:inline>
        </w:drawing>
      </w:r>
      <w:r w:rsidDel="00000000" w:rsidR="00000000" w:rsidRPr="00000000">
        <w:rPr>
          <w:color w:val="000000"/>
          <w:rtl w:val="0"/>
        </w:rPr>
        <w:t xml:space="preserve">{n}</w:t>
      </w:r>
    </w:p>
    <w:p w:rsidR="00000000" w:rsidDel="00000000" w:rsidP="00000000" w:rsidRDefault="00000000" w:rsidRPr="00000000" w14:paraId="0000001B">
      <w:pPr>
        <w:numPr>
          <w:ilvl w:val="3"/>
          <w:numId w:val="1"/>
        </w:numPr>
        <w:pBdr>
          <w:top w:space="0" w:sz="0" w:val="nil"/>
          <w:left w:space="0" w:sz="0" w:val="nil"/>
          <w:bottom w:space="0" w:sz="0" w:val="nil"/>
          <w:right w:space="0" w:sz="0" w:val="nil"/>
          <w:between w:space="0" w:sz="0" w:val="nil"/>
        </w:pBdr>
        <w:ind w:left="2200" w:hanging="440"/>
        <w:rPr/>
      </w:pPr>
      <w:r w:rsidDel="00000000" w:rsidR="00000000" w:rsidRPr="00000000">
        <w:rPr>
          <w:rtl w:val="0"/>
        </w:rPr>
        <w:t xml:space="preserve">[10](#1 $(전환사채등 발행 및 인수인 명세서_뒤쪽))(#2 $(전환사채등 발행 및 인수인 명세서_뒤쪽))(#3 $(Convertible Bonds Issuance and Subscriber Statement - Back Page))[n]</w:t>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2640" w:firstLine="0"/>
        <w:rPr>
          <w:color w:val="000000"/>
        </w:rPr>
      </w:pPr>
      <w:r w:rsidDel="00000000" w:rsidR="00000000" w:rsidRPr="00000000">
        <w:rPr>
          <w:color w:val="000000"/>
          <w:rtl w:val="0"/>
        </w:rPr>
        <w:t xml:space="preserve">{1}</w:t>
      </w:r>
      <w:r w:rsidDel="00000000" w:rsidR="00000000" w:rsidRPr="00000000">
        <w:rPr>
          <w:color w:val="000000"/>
        </w:rPr>
        <w:drawing>
          <wp:inline distB="0" distT="0" distL="0" distR="0">
            <wp:extent cx="3467809" cy="4658677"/>
            <wp:effectExtent b="0" l="0" r="0" t="0"/>
            <wp:docPr descr="텍스트, 스크린샷, 폰트, 번호이(가) 표시된 사진&#10;&#10;자동 생성된 설명" id="1350821395" name="image2.png"/>
            <a:graphic>
              <a:graphicData uri="http://schemas.openxmlformats.org/drawingml/2006/picture">
                <pic:pic>
                  <pic:nvPicPr>
                    <pic:cNvPr descr="텍스트, 스크린샷, 폰트, 번호이(가) 표시된 사진&#10;&#10;자동 생성된 설명" id="0" name="image2.png"/>
                    <pic:cNvPicPr preferRelativeResize="0"/>
                  </pic:nvPicPr>
                  <pic:blipFill>
                    <a:blip r:embed="rId8"/>
                    <a:srcRect b="0" l="0" r="0" t="0"/>
                    <a:stretch>
                      <a:fillRect/>
                    </a:stretch>
                  </pic:blipFill>
                  <pic:spPr>
                    <a:xfrm>
                      <a:off x="0" y="0"/>
                      <a:ext cx="3467809" cy="4658677"/>
                    </a:xfrm>
                    <a:prstGeom prst="rect"/>
                    <a:ln/>
                  </pic:spPr>
                </pic:pic>
              </a:graphicData>
            </a:graphic>
          </wp:inline>
        </w:drawing>
      </w:r>
      <w:r w:rsidDel="00000000" w:rsidR="00000000" w:rsidRPr="00000000">
        <w:rPr>
          <w:color w:val="000000"/>
          <w:rtl w:val="0"/>
        </w:rPr>
        <w:t xml:space="preserve">{n}</w:t>
      </w:r>
    </w:p>
    <w:p w:rsidR="00000000" w:rsidDel="00000000" w:rsidP="00000000" w:rsidRDefault="00000000" w:rsidRPr="00000000" w14:paraId="0000001D">
      <w:pPr>
        <w:rPr/>
      </w:pPr>
      <w:r w:rsidDel="00000000" w:rsidR="00000000" w:rsidRPr="00000000">
        <w:rPr>
          <w:rtl w:val="0"/>
        </w:rPr>
        <w:t xml:space="preserve">&lt;boe&gt;</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MS Minch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00" w:hanging="360"/>
      </w:pPr>
      <w:rPr/>
    </w:lvl>
    <w:lvl w:ilvl="1">
      <w:start w:val="1"/>
      <w:numFmt w:val="upperLetter"/>
      <w:lvlText w:val="%2."/>
      <w:lvlJc w:val="left"/>
      <w:pPr>
        <w:ind w:left="1320" w:hanging="440"/>
      </w:pPr>
      <w:rPr/>
    </w:lvl>
    <w:lvl w:ilvl="2">
      <w:start w:val="1"/>
      <w:numFmt w:val="lowerRoman"/>
      <w:lvlText w:val="%3."/>
      <w:lvlJc w:val="right"/>
      <w:pPr>
        <w:ind w:left="1760" w:hanging="440"/>
      </w:pPr>
      <w:rPr/>
    </w:lvl>
    <w:lvl w:ilvl="3">
      <w:start w:val="1"/>
      <w:numFmt w:val="decimal"/>
      <w:lvlText w:val="%4."/>
      <w:lvlJc w:val="left"/>
      <w:pPr>
        <w:ind w:left="2200" w:hanging="440"/>
      </w:pPr>
      <w:rPr/>
    </w:lvl>
    <w:lvl w:ilvl="4">
      <w:start w:val="1"/>
      <w:numFmt w:val="upperLetter"/>
      <w:lvlText w:val="%5."/>
      <w:lvlJc w:val="left"/>
      <w:pPr>
        <w:ind w:left="2640" w:hanging="440"/>
      </w:pPr>
      <w:rPr/>
    </w:lvl>
    <w:lvl w:ilvl="5">
      <w:start w:val="1"/>
      <w:numFmt w:val="lowerRoman"/>
      <w:lvlText w:val="%6."/>
      <w:lvlJc w:val="right"/>
      <w:pPr>
        <w:ind w:left="3080" w:hanging="440"/>
      </w:pPr>
      <w:rPr/>
    </w:lvl>
    <w:lvl w:ilvl="6">
      <w:start w:val="1"/>
      <w:numFmt w:val="decimal"/>
      <w:lvlText w:val="%7."/>
      <w:lvlJc w:val="left"/>
      <w:pPr>
        <w:ind w:left="3520" w:hanging="440"/>
      </w:pPr>
      <w:rPr/>
    </w:lvl>
    <w:lvl w:ilvl="7">
      <w:start w:val="1"/>
      <w:numFmt w:val="upperLetter"/>
      <w:lvlText w:val="%8."/>
      <w:lvlJc w:val="left"/>
      <w:pPr>
        <w:ind w:left="3960" w:hanging="440"/>
      </w:pPr>
      <w:rPr/>
    </w:lvl>
    <w:lvl w:ilvl="8">
      <w:start w:val="1"/>
      <w:numFmt w:val="lowerRoman"/>
      <w:lvlText w:val="%9."/>
      <w:lvlJc w:val="right"/>
      <w:pPr>
        <w:ind w:left="4400" w:hanging="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ordWrap w:val="0"/>
      <w:autoSpaceDE w:val="0"/>
      <w:autoSpaceDN w:val="0"/>
    </w:pPr>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sz w:val="24"/>
      <w:szCs w:val="24"/>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a4">
    <w:name w:val="List Paragraph"/>
    <w:basedOn w:val="a"/>
    <w:uiPriority w:val="34"/>
    <w:qFormat w:val="1"/>
    <w:rsid w:val="00661B2A"/>
    <w:pPr>
      <w:ind w:left="800" w:leftChars="400"/>
    </w:pPr>
  </w:style>
  <w:style w:type="paragraph" w:styleId="a5">
    <w:name w:val="header"/>
    <w:basedOn w:val="a"/>
    <w:link w:val="Char"/>
    <w:uiPriority w:val="99"/>
    <w:unhideWhenUsed w:val="1"/>
    <w:rsid w:val="007F1159"/>
    <w:pPr>
      <w:tabs>
        <w:tab w:val="center" w:pos="4513"/>
        <w:tab w:val="right" w:pos="9026"/>
      </w:tabs>
      <w:snapToGrid w:val="0"/>
    </w:pPr>
  </w:style>
  <w:style w:type="character" w:styleId="Char" w:customStyle="1">
    <w:name w:val="머리글 Char"/>
    <w:basedOn w:val="a0"/>
    <w:link w:val="a5"/>
    <w:uiPriority w:val="99"/>
    <w:rsid w:val="007F1159"/>
  </w:style>
  <w:style w:type="paragraph" w:styleId="a6">
    <w:name w:val="footer"/>
    <w:basedOn w:val="a"/>
    <w:link w:val="Char0"/>
    <w:uiPriority w:val="99"/>
    <w:unhideWhenUsed w:val="1"/>
    <w:rsid w:val="007F1159"/>
    <w:pPr>
      <w:tabs>
        <w:tab w:val="center" w:pos="4513"/>
        <w:tab w:val="right" w:pos="9026"/>
      </w:tabs>
      <w:snapToGrid w:val="0"/>
    </w:pPr>
  </w:style>
  <w:style w:type="character" w:styleId="Char0" w:customStyle="1">
    <w:name w:val="바닥글 Char"/>
    <w:basedOn w:val="a0"/>
    <w:link w:val="a6"/>
    <w:uiPriority w:val="99"/>
    <w:rsid w:val="007F1159"/>
  </w:style>
  <w:style w:type="paragraph" w:styleId="a7">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g4GB6WNJ4LkFKG0hry7Xr65VGw==">CgMxLjA4AHIhMTB0eEZZaVVEXzRlQU8zdDlzQThuaU16eldfajRMa2Yy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2023-09-06T14:43:00Z</dcterms:created>
  <dc:creator>Noh Eunsun</dc:creator>
</cp:coreProperties>
</file>