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8DB" w:rsidRPr="00CB38DB" w:rsidRDefault="00CB38DB" w:rsidP="00CB38DB">
      <w:pPr>
        <w:rPr>
          <w:rFonts w:ascii="Arial" w:hAnsi="Arial" w:cs="Arial"/>
        </w:rPr>
      </w:pPr>
      <w:proofErr w:type="gramStart"/>
      <w:r w:rsidRPr="00CB38DB">
        <w:rPr>
          <w:rFonts w:ascii="Arial" w:hAnsi="Arial" w:cs="Arial"/>
        </w:rPr>
        <w:t xml:space="preserve">How to write </w:t>
      </w:r>
      <w:r w:rsidRPr="00CB38DB">
        <w:rPr>
          <w:rFonts w:ascii="Arial" w:hAnsi="Arial" w:cs="Arial"/>
        </w:rPr>
        <w:t>1.</w:t>
      </w:r>
      <w:proofErr w:type="gramEnd"/>
      <w:r w:rsidRPr="00CB38DB">
        <w:rPr>
          <w:rFonts w:ascii="Arial" w:hAnsi="Arial" w:cs="Arial"/>
        </w:rPr>
        <w:t xml:space="preserve"> This statement of issuance and acceptor of convertible bonds shall be prepared and submitted by the corporation that issued convertible bonds, etc. or by the underwriter under t</w:t>
      </w:r>
      <w:r w:rsidRPr="00CB38DB">
        <w:rPr>
          <w:rFonts w:ascii="Arial" w:hAnsi="Arial" w:cs="Arial"/>
        </w:rPr>
        <w:t xml:space="preserve">he Securities Exchange Tax Act. </w:t>
      </w:r>
      <w:r w:rsidRPr="00CB38DB">
        <w:rPr>
          <w:rFonts w:ascii="Arial" w:hAnsi="Arial" w:cs="Arial"/>
        </w:rPr>
        <w:t xml:space="preserve">2. </w:t>
      </w:r>
      <w:r w:rsidRPr="00CB38DB">
        <w:rPr>
          <w:rFonts w:ascii="굴림" w:eastAsia="굴림" w:hAnsi="굴림" w:cs="굴림" w:hint="eastAsia"/>
        </w:rPr>
        <w:t>①</w:t>
      </w:r>
      <w:r w:rsidRPr="00CB38DB">
        <w:rPr>
          <w:rFonts w:ascii="Arial" w:hAnsi="Arial" w:cs="Arial"/>
        </w:rPr>
        <w:t xml:space="preserve"> Write down the product code given by the Korea Securities Exchange, Securities Depository, and Asset Management Association in the Securities Standard Code column. If the standard code for securities is not assigned, write down the business registration number.</w:t>
      </w:r>
      <w:r w:rsidRPr="00CB38DB">
        <w:rPr>
          <w:rFonts w:ascii="Arial" w:hAnsi="Arial" w:cs="Arial"/>
        </w:rPr>
        <w:t xml:space="preserve"> </w:t>
      </w:r>
      <w:r w:rsidRPr="00CB38DB">
        <w:rPr>
          <w:rFonts w:ascii="Arial" w:hAnsi="Arial" w:cs="Arial"/>
        </w:rPr>
        <w:t xml:space="preserve">3. </w:t>
      </w:r>
      <w:r w:rsidRPr="00CB38DB">
        <w:rPr>
          <w:rFonts w:ascii="굴림" w:eastAsia="굴림" w:hAnsi="굴림" w:cs="굴림" w:hint="eastAsia"/>
        </w:rPr>
        <w:t>②</w:t>
      </w:r>
      <w:r w:rsidRPr="00CB38DB">
        <w:rPr>
          <w:rFonts w:ascii="Arial" w:hAnsi="Arial" w:cs="Arial"/>
        </w:rPr>
        <w:t xml:space="preserve"> </w:t>
      </w:r>
      <w:proofErr w:type="gramStart"/>
      <w:r w:rsidRPr="00CB38DB">
        <w:rPr>
          <w:rFonts w:ascii="Arial" w:hAnsi="Arial" w:cs="Arial"/>
        </w:rPr>
        <w:t>In</w:t>
      </w:r>
      <w:proofErr w:type="gramEnd"/>
      <w:r w:rsidRPr="00CB38DB">
        <w:rPr>
          <w:rFonts w:ascii="Arial" w:hAnsi="Arial" w:cs="Arial"/>
        </w:rPr>
        <w:t xml:space="preserve"> the bond type column, it is divided into convertible bonds (1), bonds with underwriting rights (2), exch</w:t>
      </w:r>
      <w:r w:rsidRPr="00CB38DB">
        <w:rPr>
          <w:rFonts w:ascii="Arial" w:hAnsi="Arial" w:cs="Arial"/>
        </w:rPr>
        <w:t xml:space="preserve">ange bonds (3), and others (4). </w:t>
      </w:r>
      <w:r w:rsidRPr="00CB38DB">
        <w:rPr>
          <w:rFonts w:ascii="Arial" w:hAnsi="Arial" w:cs="Arial"/>
        </w:rPr>
        <w:t xml:space="preserve">4. </w:t>
      </w:r>
      <w:r w:rsidRPr="00CB38DB">
        <w:rPr>
          <w:rFonts w:ascii="굴림" w:eastAsia="굴림" w:hAnsi="굴림" w:cs="굴림" w:hint="eastAsia"/>
        </w:rPr>
        <w:t>⑥</w:t>
      </w:r>
      <w:r w:rsidRPr="00CB38DB">
        <w:rPr>
          <w:rFonts w:ascii="Arial" w:hAnsi="Arial" w:cs="Arial"/>
        </w:rPr>
        <w:t xml:space="preserve"> In the Surface Rate column, write the interest rate written on the bond page. 5. </w:t>
      </w:r>
      <w:r w:rsidRPr="00CB38DB">
        <w:rPr>
          <w:rFonts w:ascii="굴림" w:eastAsia="굴림" w:hAnsi="굴림" w:cs="굴림" w:hint="eastAsia"/>
        </w:rPr>
        <w:t>⑨</w:t>
      </w:r>
      <w:r w:rsidRPr="00CB38DB">
        <w:rPr>
          <w:rFonts w:ascii="Arial" w:hAnsi="Arial" w:cs="Arial"/>
        </w:rPr>
        <w:t xml:space="preserve"> In the Convertible Value column, write the amount to be paid per share in the case of conversion to stocks</w:t>
      </w:r>
      <w:r w:rsidRPr="00CB38DB">
        <w:rPr>
          <w:rFonts w:ascii="Arial" w:hAnsi="Arial" w:cs="Arial"/>
        </w:rPr>
        <w:t xml:space="preserve"> or acquisition of new shares.  </w:t>
      </w:r>
      <w:r w:rsidRPr="00CB38DB">
        <w:rPr>
          <w:rFonts w:ascii="Arial" w:hAnsi="Arial" w:cs="Arial"/>
        </w:rPr>
        <w:t xml:space="preserve">6. </w:t>
      </w:r>
      <w:r w:rsidRPr="00CB38DB">
        <w:rPr>
          <w:rFonts w:ascii="굴림" w:eastAsia="굴림" w:hAnsi="굴림" w:cs="굴림" w:hint="eastAsia"/>
        </w:rPr>
        <w:t>⑩</w:t>
      </w:r>
      <w:r w:rsidRPr="00CB38DB">
        <w:rPr>
          <w:rFonts w:ascii="Arial" w:hAnsi="Arial" w:cs="Arial"/>
        </w:rPr>
        <w:t xml:space="preserve"> In the Transition Period column, </w:t>
      </w:r>
      <w:proofErr w:type="gramStart"/>
      <w:r w:rsidRPr="00CB38DB">
        <w:rPr>
          <w:rFonts w:ascii="Arial" w:hAnsi="Arial" w:cs="Arial"/>
        </w:rPr>
        <w:t>write</w:t>
      </w:r>
      <w:proofErr w:type="gramEnd"/>
      <w:r w:rsidRPr="00CB38DB">
        <w:rPr>
          <w:rFonts w:ascii="Arial" w:hAnsi="Arial" w:cs="Arial"/>
        </w:rPr>
        <w:t xml:space="preserve"> down the period in which you can convert to stocks or exercise underwriting rights.</w:t>
      </w:r>
      <w:r w:rsidRPr="00CB38DB">
        <w:rPr>
          <w:rFonts w:ascii="Arial" w:hAnsi="Arial" w:cs="Arial"/>
        </w:rPr>
        <w:t xml:space="preserve"> </w:t>
      </w:r>
      <w:r w:rsidRPr="00CB38DB">
        <w:rPr>
          <w:rFonts w:ascii="Arial" w:hAnsi="Arial" w:cs="Arial"/>
        </w:rPr>
        <w:t xml:space="preserve">7. </w:t>
      </w:r>
      <w:r w:rsidRPr="00CB38DB">
        <w:rPr>
          <w:rFonts w:ascii="굴림" w:eastAsia="굴림" w:hAnsi="굴림" w:cs="굴림" w:hint="eastAsia"/>
        </w:rPr>
        <w:t>⑪</w:t>
      </w:r>
      <w:r w:rsidRPr="00CB38DB">
        <w:rPr>
          <w:rFonts w:ascii="Arial" w:hAnsi="Arial" w:cs="Arial"/>
        </w:rPr>
        <w:t xml:space="preserve"> </w:t>
      </w:r>
      <w:proofErr w:type="gramStart"/>
      <w:r w:rsidRPr="00CB38DB">
        <w:rPr>
          <w:rFonts w:ascii="Arial" w:hAnsi="Arial" w:cs="Arial"/>
        </w:rPr>
        <w:t>In</w:t>
      </w:r>
      <w:proofErr w:type="gramEnd"/>
      <w:r w:rsidRPr="00CB38DB">
        <w:rPr>
          <w:rFonts w:ascii="Arial" w:hAnsi="Arial" w:cs="Arial"/>
        </w:rPr>
        <w:t xml:space="preserve"> the remark column, if you issue bonds with underwriting rights, write whe</w:t>
      </w:r>
      <w:r w:rsidRPr="00CB38DB">
        <w:rPr>
          <w:rFonts w:ascii="Arial" w:hAnsi="Arial" w:cs="Arial"/>
        </w:rPr>
        <w:t xml:space="preserve">ther they are separate or non. </w:t>
      </w:r>
      <w:r w:rsidRPr="00CB38DB">
        <w:rPr>
          <w:rFonts w:ascii="Arial" w:hAnsi="Arial" w:cs="Arial"/>
        </w:rPr>
        <w:t xml:space="preserve">8. </w:t>
      </w:r>
      <w:r w:rsidRPr="00CB38DB">
        <w:rPr>
          <w:rFonts w:ascii="Cambria Math" w:hAnsi="Cambria Math" w:cs="Cambria Math"/>
        </w:rPr>
        <w:t>⑯</w:t>
      </w:r>
      <w:r w:rsidRPr="00CB38DB">
        <w:rPr>
          <w:rFonts w:ascii="Arial" w:hAnsi="Arial" w:cs="Arial"/>
        </w:rPr>
        <w:t xml:space="preserve"> </w:t>
      </w:r>
      <w:proofErr w:type="gramStart"/>
      <w:r w:rsidRPr="00CB38DB">
        <w:rPr>
          <w:rFonts w:ascii="Arial" w:hAnsi="Arial" w:cs="Arial"/>
        </w:rPr>
        <w:t>In</w:t>
      </w:r>
      <w:proofErr w:type="gramEnd"/>
      <w:r w:rsidRPr="00CB38DB">
        <w:rPr>
          <w:rFonts w:ascii="Arial" w:hAnsi="Arial" w:cs="Arial"/>
        </w:rPr>
        <w:t xml:space="preserve"> the total amount of bonds, write the total amount of convertible bonds that can be converted into stocks or </w:t>
      </w:r>
      <w:r w:rsidRPr="00CB38DB">
        <w:rPr>
          <w:rFonts w:ascii="Arial" w:hAnsi="Arial" w:cs="Arial"/>
        </w:rPr>
        <w:t xml:space="preserve">exercised underwriting rights.  </w:t>
      </w:r>
      <w:r w:rsidRPr="00CB38DB">
        <w:rPr>
          <w:rFonts w:ascii="Arial" w:hAnsi="Arial" w:cs="Arial"/>
        </w:rPr>
        <w:t xml:space="preserve">9. </w:t>
      </w:r>
      <w:r w:rsidRPr="00CB38DB">
        <w:rPr>
          <w:rFonts w:ascii="Cambria Math" w:hAnsi="Cambria Math" w:cs="Cambria Math"/>
        </w:rPr>
        <w:t>⑰</w:t>
      </w:r>
      <w:r w:rsidRPr="00CB38DB">
        <w:rPr>
          <w:rFonts w:ascii="Arial" w:hAnsi="Arial" w:cs="Arial"/>
        </w:rPr>
        <w:t xml:space="preserve"> </w:t>
      </w:r>
      <w:proofErr w:type="gramStart"/>
      <w:r w:rsidRPr="00CB38DB">
        <w:rPr>
          <w:rFonts w:ascii="Arial" w:hAnsi="Arial" w:cs="Arial"/>
        </w:rPr>
        <w:t>In</w:t>
      </w:r>
      <w:proofErr w:type="gramEnd"/>
      <w:r w:rsidRPr="00CB38DB">
        <w:rPr>
          <w:rFonts w:ascii="Arial" w:hAnsi="Arial" w:cs="Arial"/>
        </w:rPr>
        <w:t xml:space="preserve"> the relationship section, shareholders and non-share</w:t>
      </w:r>
      <w:r w:rsidRPr="00CB38DB">
        <w:rPr>
          <w:rFonts w:ascii="Arial" w:hAnsi="Arial" w:cs="Arial"/>
        </w:rPr>
        <w:t>holders are written</w:t>
      </w:r>
      <w:bookmarkStart w:id="0" w:name="_GoBack"/>
      <w:bookmarkEnd w:id="0"/>
      <w:r w:rsidRPr="00CB38DB">
        <w:rPr>
          <w:rFonts w:ascii="Arial" w:hAnsi="Arial" w:cs="Arial"/>
        </w:rPr>
        <w:t xml:space="preserve"> separately. </w:t>
      </w:r>
      <w:r w:rsidRPr="00CB38DB">
        <w:rPr>
          <w:rFonts w:ascii="굴림" w:eastAsia="굴림" w:hAnsi="굴림" w:cs="굴림" w:hint="eastAsia"/>
        </w:rPr>
        <w:t>※</w:t>
      </w:r>
      <w:r w:rsidRPr="00CB38DB">
        <w:rPr>
          <w:rFonts w:ascii="Arial" w:hAnsi="Arial" w:cs="Arial"/>
        </w:rPr>
        <w:t xml:space="preserve"> Please write it separately by type of convertible bonds and the date of issuance.</w:t>
      </w:r>
      <w:r w:rsidRPr="00CB38DB">
        <w:rPr>
          <w:rFonts w:ascii="Arial" w:hAnsi="Arial" w:cs="Arial"/>
        </w:rPr>
        <w:t xml:space="preserve"> </w:t>
      </w:r>
      <w:r w:rsidRPr="00CB38DB">
        <w:rPr>
          <w:rFonts w:ascii="굴림" w:eastAsia="굴림" w:hAnsi="굴림" w:cs="굴림" w:hint="eastAsia"/>
        </w:rPr>
        <w:t>※</w:t>
      </w:r>
      <w:r w:rsidRPr="00CB38DB">
        <w:rPr>
          <w:rFonts w:ascii="Arial" w:hAnsi="Arial" w:cs="Arial"/>
        </w:rPr>
        <w:t xml:space="preserve"> If a stock-listed corporation or an association-registered corporation issues convertible bonds by means of recruiting securities under Article 9 (7) of the Capital Markets and Financial Investment Business Act, it is not necessary to submit it.</w:t>
      </w:r>
    </w:p>
    <w:p w:rsidR="00FA4CFF" w:rsidRPr="00CB38DB" w:rsidRDefault="00FA4CFF" w:rsidP="00CB38DB">
      <w:pPr>
        <w:rPr>
          <w:rFonts w:ascii="Arial" w:hAnsi="Arial" w:cs="Arial"/>
        </w:rPr>
      </w:pPr>
    </w:p>
    <w:sectPr w:rsidR="00FA4CFF" w:rsidRPr="00CB38D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DC9" w:rsidRDefault="00311DC9" w:rsidP="009F7E55">
      <w:pPr>
        <w:spacing w:after="0" w:line="240" w:lineRule="auto"/>
      </w:pPr>
      <w:r>
        <w:separator/>
      </w:r>
    </w:p>
  </w:endnote>
  <w:endnote w:type="continuationSeparator" w:id="0">
    <w:p w:rsidR="00311DC9" w:rsidRDefault="00311DC9" w:rsidP="009F7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DC9" w:rsidRDefault="00311DC9" w:rsidP="009F7E55">
      <w:pPr>
        <w:spacing w:after="0" w:line="240" w:lineRule="auto"/>
      </w:pPr>
      <w:r>
        <w:separator/>
      </w:r>
    </w:p>
  </w:footnote>
  <w:footnote w:type="continuationSeparator" w:id="0">
    <w:p w:rsidR="00311DC9" w:rsidRDefault="00311DC9" w:rsidP="009F7E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026"/>
    <w:rsid w:val="00001B59"/>
    <w:rsid w:val="001A0DCD"/>
    <w:rsid w:val="00260E6C"/>
    <w:rsid w:val="00311DC9"/>
    <w:rsid w:val="00336026"/>
    <w:rsid w:val="003B0E33"/>
    <w:rsid w:val="00610813"/>
    <w:rsid w:val="006123F4"/>
    <w:rsid w:val="009F7E55"/>
    <w:rsid w:val="00CB38DB"/>
    <w:rsid w:val="00D40FF9"/>
    <w:rsid w:val="00DE4E31"/>
    <w:rsid w:val="00E62937"/>
    <w:rsid w:val="00E96604"/>
    <w:rsid w:val="00FA4C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7E55"/>
    <w:pPr>
      <w:tabs>
        <w:tab w:val="center" w:pos="4513"/>
        <w:tab w:val="right" w:pos="9026"/>
      </w:tabs>
      <w:snapToGrid w:val="0"/>
    </w:pPr>
  </w:style>
  <w:style w:type="character" w:customStyle="1" w:styleId="Char">
    <w:name w:val="머리글 Char"/>
    <w:basedOn w:val="a0"/>
    <w:link w:val="a3"/>
    <w:uiPriority w:val="99"/>
    <w:rsid w:val="009F7E55"/>
  </w:style>
  <w:style w:type="paragraph" w:styleId="a4">
    <w:name w:val="footer"/>
    <w:basedOn w:val="a"/>
    <w:link w:val="Char0"/>
    <w:uiPriority w:val="99"/>
    <w:unhideWhenUsed/>
    <w:rsid w:val="009F7E55"/>
    <w:pPr>
      <w:tabs>
        <w:tab w:val="center" w:pos="4513"/>
        <w:tab w:val="right" w:pos="9026"/>
      </w:tabs>
      <w:snapToGrid w:val="0"/>
    </w:pPr>
  </w:style>
  <w:style w:type="character" w:customStyle="1" w:styleId="Char0">
    <w:name w:val="바닥글 Char"/>
    <w:basedOn w:val="a0"/>
    <w:link w:val="a4"/>
    <w:uiPriority w:val="99"/>
    <w:rsid w:val="009F7E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7E55"/>
    <w:pPr>
      <w:tabs>
        <w:tab w:val="center" w:pos="4513"/>
        <w:tab w:val="right" w:pos="9026"/>
      </w:tabs>
      <w:snapToGrid w:val="0"/>
    </w:pPr>
  </w:style>
  <w:style w:type="character" w:customStyle="1" w:styleId="Char">
    <w:name w:val="머리글 Char"/>
    <w:basedOn w:val="a0"/>
    <w:link w:val="a3"/>
    <w:uiPriority w:val="99"/>
    <w:rsid w:val="009F7E55"/>
  </w:style>
  <w:style w:type="paragraph" w:styleId="a4">
    <w:name w:val="footer"/>
    <w:basedOn w:val="a"/>
    <w:link w:val="Char0"/>
    <w:uiPriority w:val="99"/>
    <w:unhideWhenUsed/>
    <w:rsid w:val="009F7E55"/>
    <w:pPr>
      <w:tabs>
        <w:tab w:val="center" w:pos="4513"/>
        <w:tab w:val="right" w:pos="9026"/>
      </w:tabs>
      <w:snapToGrid w:val="0"/>
    </w:pPr>
  </w:style>
  <w:style w:type="character" w:customStyle="1" w:styleId="Char0">
    <w:name w:val="바닥글 Char"/>
    <w:basedOn w:val="a0"/>
    <w:link w:val="a4"/>
    <w:uiPriority w:val="99"/>
    <w:rsid w:val="009F7E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2023-10-15T18:57:00Z</dcterms:created>
  <dcterms:modified xsi:type="dcterms:W3CDTF">2023-10-15T20:37:00Z</dcterms:modified>
</cp:coreProperties>
</file>