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6C24" w14:textId="50AC3EB5" w:rsidR="009317EE" w:rsidRDefault="007938D7">
      <w:r>
        <w:t xml:space="preserve">과태료의 부과기준(국조령§103) </w:t>
      </w:r>
      <w:r>
        <w:rPr>
          <w:rFonts w:ascii="MS Mincho" w:eastAsia="MS Mincho" w:hAnsi="MS Mincho" w:cs="MS Mincho" w:hint="eastAsia"/>
        </w:rPr>
        <w:t>❙</w:t>
      </w:r>
      <w:r>
        <w:t xml:space="preserve"> 위반행위 근거 법조문 과태료 금액 1. 최초자료 미(거짓)제출 시：법인세 과세표준 신고 기한까지 다음 각 목의 자료를 제출하지 아니하거나 거짓된 자료를 제출하는 경우 국조법§91①(1)</w:t>
      </w:r>
      <w:r>
        <w:rPr>
          <w:rFonts w:ascii="MS Mincho" w:eastAsia="MS Mincho" w:hAnsi="MS Mincho" w:cs="MS Mincho" w:hint="eastAsia"/>
        </w:rPr>
        <w:t>･</w:t>
      </w:r>
      <w:r>
        <w:t xml:space="preserve"> ②(1) (舊국조법§63) 가. 해외현지법인 명세서등 및 관련자료 (1) 해외현지법인 명세서 (2) 해외현지법인 재무상황표 (3) 손실거래명세서 (4) 해외영업소 설치현황표 건별 1,000만원 나. 해외부동산등의 투자 명세 등 및 관련자료： 해외부동산 취득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보유</w:t>
      </w:r>
      <w:r>
        <w:t xml:space="preserve"> 및 투자운용(임대) 명세서 해외부동산등의 취득가액, 처분가액 및 투자운용소득의 100분의 10 (1억원 한도) 2. 보완요구자료 미(거짓)제출 시：자료제출 또는 보완을 요구받은 날부터 60일 이내에 다음 각 목의 자료를 제출하지 아니하거나 거짓된 자료를 제출하는 경우 국조법§91①(2)</w:t>
      </w:r>
      <w:r>
        <w:rPr>
          <w:rFonts w:ascii="MS Mincho" w:eastAsia="MS Mincho" w:hAnsi="MS Mincho" w:cs="MS Mincho" w:hint="eastAsia"/>
        </w:rPr>
        <w:t>･</w:t>
      </w:r>
      <w:r>
        <w:t xml:space="preserve"> ②(2) (舊국조법§63) 가. 해외현지법인 명세서등 및 관련자료 (1) 해외현지법인 명세서 (2) 해외현지법인 재무상황표 (3) 손실거래명세서 (4) 해외영업소 설치현황표 건별 1,000만원 나. 해외부동산등의 투자 명세등 및 관련자료： 해외부동산 취득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보유</w:t>
      </w:r>
      <w:r>
        <w:t xml:space="preserve"> 및 투자운용(임대) 명세서 해외부동산등의 취득가액, 처분가액 및 투자운용소득의 100분의 10 (1억원 한도)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D7"/>
    <w:rsid w:val="007938D7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486B"/>
  <w15:chartTrackingRefBased/>
  <w15:docId w15:val="{B01A49B2-EFFF-4AF4-8959-57136179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2023-09-12T17:37:00Z</dcterms:created>
  <dcterms:modified xsi:type="dcterms:W3CDTF">2023-09-12T17:37:00Z</dcterms:modified>
</cp:coreProperties>
</file>