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8D24" w14:textId="21A22D71" w:rsidR="009317EE" w:rsidRDefault="00956132">
      <w:r>
        <w:t>3. 해외현지법인 이익잉여금 처분계산서 (⑩ 적용환율</w:t>
      </w:r>
      <w:proofErr w:type="gramStart"/>
      <w:r>
        <w:t>： )</w:t>
      </w:r>
      <w:proofErr w:type="gramEnd"/>
      <w:r>
        <w:t xml:space="preserve"> 4. 해외현지법인 결손금 처리계산서 (⑩ 적용환율</w:t>
      </w:r>
      <w:proofErr w:type="gramStart"/>
      <w:r>
        <w:t>： )</w:t>
      </w:r>
      <w:proofErr w:type="gramEnd"/>
      <w:r>
        <w:t xml:space="preserve"> Ⅰ. </w:t>
      </w:r>
      <w:proofErr w:type="spellStart"/>
      <w:r>
        <w:t>미처분이익잉여금</w:t>
      </w:r>
      <w:proofErr w:type="spellEnd"/>
      <w:r>
        <w:t xml:space="preserve"> 71 Ⅰ. 미처리결손금 83 1. </w:t>
      </w:r>
      <w:proofErr w:type="spellStart"/>
      <w:r>
        <w:t>전기이월미처분이익잉여금</w:t>
      </w:r>
      <w:proofErr w:type="spellEnd"/>
      <w:r>
        <w:t xml:space="preserve"> (</w:t>
      </w:r>
      <w:proofErr w:type="spellStart"/>
      <w:r>
        <w:t>전기이월미처리결손금</w:t>
      </w:r>
      <w:proofErr w:type="spellEnd"/>
      <w:r>
        <w:t xml:space="preserve">) 72 1. </w:t>
      </w:r>
      <w:proofErr w:type="spellStart"/>
      <w:r>
        <w:t>전기이월미처리결손금</w:t>
      </w:r>
      <w:proofErr w:type="spellEnd"/>
      <w:r>
        <w:t xml:space="preserve"> (</w:t>
      </w:r>
      <w:proofErr w:type="spellStart"/>
      <w:r>
        <w:t>전기이월미처분이익잉여금</w:t>
      </w:r>
      <w:proofErr w:type="spellEnd"/>
      <w:r>
        <w:t xml:space="preserve">) 84 2. </w:t>
      </w:r>
      <w:proofErr w:type="spellStart"/>
      <w:r>
        <w:t>전기오류수정이익</w:t>
      </w:r>
      <w:proofErr w:type="spellEnd"/>
      <w:r>
        <w:t xml:space="preserve"> (</w:t>
      </w:r>
      <w:proofErr w:type="spellStart"/>
      <w:r>
        <w:t>전기오류수정손실</w:t>
      </w:r>
      <w:proofErr w:type="spellEnd"/>
      <w:r>
        <w:t xml:space="preserve">) 73 2. </w:t>
      </w:r>
      <w:proofErr w:type="spellStart"/>
      <w:r>
        <w:t>전기오류수정손실</w:t>
      </w:r>
      <w:proofErr w:type="spellEnd"/>
      <w:r>
        <w:t xml:space="preserve"> (</w:t>
      </w:r>
      <w:proofErr w:type="spellStart"/>
      <w:r>
        <w:t>전기오류수정이익</w:t>
      </w:r>
      <w:proofErr w:type="spellEnd"/>
      <w:r>
        <w:t>) 85 3. 중간배당액 74 3. 중간배당액 86 4. 당기순이익(</w:t>
      </w:r>
      <w:proofErr w:type="spellStart"/>
      <w:r>
        <w:t>당기순손실</w:t>
      </w:r>
      <w:proofErr w:type="spellEnd"/>
      <w:r>
        <w:t xml:space="preserve">) 75 4. </w:t>
      </w:r>
      <w:proofErr w:type="spellStart"/>
      <w:r>
        <w:t>당기순손실</w:t>
      </w:r>
      <w:proofErr w:type="spellEnd"/>
      <w:r>
        <w:t xml:space="preserve">(당기순이익) 87 Ⅱ. 임의적립금 등의 </w:t>
      </w:r>
      <w:proofErr w:type="spellStart"/>
      <w:r>
        <w:t>이입액</w:t>
      </w:r>
      <w:proofErr w:type="spellEnd"/>
      <w:r>
        <w:t xml:space="preserve"> 76 Ⅱ. 결손금 </w:t>
      </w:r>
      <w:proofErr w:type="spellStart"/>
      <w:r>
        <w:t>처리액</w:t>
      </w:r>
      <w:proofErr w:type="spellEnd"/>
      <w:r>
        <w:t xml:space="preserve"> 88 Ⅲ. 이익잉여금 </w:t>
      </w:r>
      <w:proofErr w:type="spellStart"/>
      <w:r>
        <w:t>처분액</w:t>
      </w:r>
      <w:proofErr w:type="spellEnd"/>
      <w:r>
        <w:t xml:space="preserve"> 77 1. 임의적립금 </w:t>
      </w:r>
      <w:proofErr w:type="spellStart"/>
      <w:r>
        <w:t>이입액</w:t>
      </w:r>
      <w:proofErr w:type="spellEnd"/>
      <w:r>
        <w:t xml:space="preserve"> 89 1. 현금배당 78 2. 그 밖의 </w:t>
      </w:r>
      <w:proofErr w:type="spellStart"/>
      <w:r>
        <w:t>법정적립금이입액</w:t>
      </w:r>
      <w:proofErr w:type="spellEnd"/>
      <w:r>
        <w:t xml:space="preserve"> 90 2. 주식배당 79 3. 이익준비금 </w:t>
      </w:r>
      <w:proofErr w:type="spellStart"/>
      <w:r>
        <w:t>이입액</w:t>
      </w:r>
      <w:proofErr w:type="spellEnd"/>
      <w:r>
        <w:t xml:space="preserve"> 91 3. 의무적립금 80 4. 자본잉여금 </w:t>
      </w:r>
      <w:proofErr w:type="spellStart"/>
      <w:r>
        <w:t>이입액</w:t>
      </w:r>
      <w:proofErr w:type="spellEnd"/>
      <w:r>
        <w:t xml:space="preserve"> 92 4. 그 밖의 임의적립금 및 상여 등 81 Ⅲ. </w:t>
      </w:r>
      <w:proofErr w:type="spellStart"/>
      <w:r>
        <w:t>차기이월미처리결손금</w:t>
      </w:r>
      <w:proofErr w:type="spellEnd"/>
      <w:r>
        <w:t xml:space="preserve"> 93 Ⅳ. </w:t>
      </w:r>
      <w:proofErr w:type="spellStart"/>
      <w:r>
        <w:t>차기이월이익잉여금</w:t>
      </w:r>
      <w:proofErr w:type="spellEnd"/>
      <w:r>
        <w:t xml:space="preserve"> 82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제58조 및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제98조에 따라 해외현지법인 재무상황표를 제출합니다. 년 월 일 제출인 (서명 또는 인) 세무서장 귀하 작성방법 ※ 이 서식은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외국환거래법</w:t>
      </w:r>
      <w:r>
        <w:rPr>
          <w:rFonts w:ascii="MS Mincho" w:eastAsia="MS Mincho" w:hAnsi="MS Mincho" w:cs="MS Mincho" w:hint="eastAsia"/>
        </w:rPr>
        <w:t>｣</w:t>
      </w:r>
      <w:r>
        <w:t xml:space="preserve"> 제3조제1항제18호가목에 따른 해외직접투자를 한 내국법인 중 피투자법인의 발행주식총수 또는 출자총액의 100분의10 이상을 소유하고 그 투자금액(증권투자 및 대부투자 합계)이 1억원 이상이거나, 피투자법인의 발행주식 총수 또는 출자총액의 100분의 10 이상을 직접 또는 간접으로 소유하고 피투자법인과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제2조제1항제8호에 따른 특수관계에 있는 모든 내국법인이 제출대상이 됩니다(상기 요건에 해당하는 경우에는 공동투자자 모두가 제출대상이 됩니다). 여기서 1억원 이상의 외화환산은 각 투자실행일 현재의 매매기준율 또는 재정(裁定)된 매매기준율로 환산한 금액입니다. 1. 국내 모법인과 해외현지법인의 사업연도 종료일이 다른 경우 국내 모법인의 사업연도종료일 직전에 종료하는 해외현지법인 사업연도분을 대상으로 하여 작성하며 가결산하여 작성하는 경우 가결산의 </w:t>
      </w:r>
      <w:proofErr w:type="gramStart"/>
      <w:r>
        <w:t>[ ]</w:t>
      </w:r>
      <w:proofErr w:type="gramEnd"/>
      <w:r>
        <w:t xml:space="preserve">에 √ 합니다. 2. 외화의 원화환산은 </w:t>
      </w:r>
      <w:proofErr w:type="spellStart"/>
      <w:r>
        <w:t>요약대차대조표</w:t>
      </w:r>
      <w:proofErr w:type="spellEnd"/>
      <w:r>
        <w:t xml:space="preserve"> 및 이익잉여금(결손금)처리 계산서항목의 경우 해외현지법인 사업연도종료일 현재 매매기준율 또는 재정(裁定)된 매매기준율을 적용한 환율은 ⑩ 적용환율에, </w:t>
      </w:r>
      <w:proofErr w:type="spellStart"/>
      <w:r>
        <w:t>요약손익계산서항목의</w:t>
      </w:r>
      <w:proofErr w:type="spellEnd"/>
      <w:r>
        <w:t xml:space="preserve"> 경우 해외현지법인 사업연도의 평균환율은 ⑪ 적용환율에 적습니다. (</w:t>
      </w:r>
      <w:proofErr w:type="spellStart"/>
      <w:r>
        <w:t>예：미</w:t>
      </w:r>
      <w:proofErr w:type="spellEnd"/>
      <w:r>
        <w:t xml:space="preserve"> 달러화의 경우 930.00/USD 방식으로 적습니다.) 3. 해외현지기업고유번호는 국내 모법인의 납세지 관할 세무서장이 부여한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해외현지기업고유번호</w:t>
      </w:r>
      <w:r>
        <w:rPr>
          <w:rFonts w:ascii="MS Mincho" w:eastAsia="MS Mincho" w:hAnsi="MS Mincho" w:cs="MS Mincho" w:hint="eastAsia"/>
        </w:rPr>
        <w:t>｣</w:t>
      </w:r>
      <w:r>
        <w:t xml:space="preserve">(9자리)를 적습니다. 4. </w:t>
      </w:r>
      <w:proofErr w:type="spellStart"/>
      <w:r>
        <w:t>요약대차대조표</w:t>
      </w:r>
      <w:proofErr w:type="spellEnd"/>
      <w:r>
        <w:t xml:space="preserve"> 및 </w:t>
      </w:r>
      <w:proofErr w:type="spellStart"/>
      <w:r>
        <w:t>요약손익계산서</w:t>
      </w:r>
      <w:proofErr w:type="spellEnd"/>
      <w:r>
        <w:t xml:space="preserve"> 상의 ‘특수관계인’은 해외현지법인의 특수관계인으로 국내 </w:t>
      </w:r>
      <w:proofErr w:type="spellStart"/>
      <w:r>
        <w:t>특수관계인뿐만</w:t>
      </w:r>
      <w:proofErr w:type="spellEnd"/>
      <w:r>
        <w:t xml:space="preserve"> 아니라 국외특수관계인도 포함합니다. 이 경우 특수관계인의 범위에는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국제조세조정에</w:t>
      </w:r>
      <w:r>
        <w:t xml:space="preserve">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제2조제1항제8호 및 같은 법 시행령 제2조에서 규정한 특수관계를 적용합니다. 5. 계정과목을 분류할 수 있는 항목은 반드시 해당 항목에 분류하여 적어야 합니다. (</w:t>
      </w:r>
      <w:proofErr w:type="spellStart"/>
      <w:r>
        <w:t>예：현금＋단기예금＋장기예금</w:t>
      </w:r>
      <w:proofErr w:type="spellEnd"/>
      <w:r>
        <w:t xml:space="preserve"> → </w:t>
      </w:r>
      <w:proofErr w:type="spellStart"/>
      <w:r>
        <w:t>현금과예금</w:t>
      </w:r>
      <w:proofErr w:type="spellEnd"/>
      <w:r>
        <w:t>, 단기대여금+장기대여금 → 대여금 등) * 특히 계정과목을 분류할 수 있음에도 “위 분류과목 이외의 자산, 부채 항목”</w:t>
      </w:r>
      <w:proofErr w:type="spellStart"/>
      <w:r>
        <w:t>으로</w:t>
      </w:r>
      <w:proofErr w:type="spellEnd"/>
      <w:r>
        <w:t xml:space="preserve"> 분류하지 마시기 바랍니다. 6. 유가증권의 경우 유동자산에 해당하는 항목은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유가증권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, 비유동자산에 해당하는 항목은 </w:t>
      </w:r>
      <w:r>
        <w:rPr>
          <w:rFonts w:ascii="MS Mincho" w:eastAsia="MS Mincho" w:hAnsi="MS Mincho" w:cs="MS Mincho" w:hint="eastAsia"/>
        </w:rPr>
        <w:t>｢</w:t>
      </w:r>
      <w:proofErr w:type="spellStart"/>
      <w:r>
        <w:rPr>
          <w:rFonts w:ascii="맑은 고딕" w:eastAsia="맑은 고딕" w:hAnsi="맑은 고딕" w:cs="맑은 고딕" w:hint="eastAsia"/>
        </w:rPr>
        <w:t>투자유가증권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적습니다. (</w:t>
      </w:r>
      <w:proofErr w:type="spellStart"/>
      <w:r>
        <w:t>예：지분법적용해외투자주식</w:t>
      </w:r>
      <w:proofErr w:type="spellEnd"/>
      <w:r>
        <w:t xml:space="preserve"> → 투자유가증권) 7. 해외현지법인 </w:t>
      </w:r>
      <w:proofErr w:type="spellStart"/>
      <w:r>
        <w:t>이익잉여금처분</w:t>
      </w:r>
      <w:proofErr w:type="spellEnd"/>
      <w:r>
        <w:t>(결손금처리)계산서의 작성요령은 별지 제3호의3서식(4) “</w:t>
      </w:r>
      <w:proofErr w:type="spellStart"/>
      <w:r>
        <w:t>이익잉여금처분</w:t>
      </w:r>
      <w:proofErr w:type="spellEnd"/>
      <w:r>
        <w:t>(결손금처리) 계산서”의 작성요령을 참고하시기 바랍니다. 8. 제출대상 해외현지법인 수가 둘 이상인 경우 제출인 서명날인은 첫 장에만 합니다.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32"/>
    <w:rsid w:val="009317EE"/>
    <w:rsid w:val="00956132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1024"/>
  <w15:chartTrackingRefBased/>
  <w15:docId w15:val="{50E9B706-7B1F-4209-915B-A20FD048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2023-09-12T18:18:00Z</dcterms:created>
  <dcterms:modified xsi:type="dcterms:W3CDTF">2023-09-12T18:19:00Z</dcterms:modified>
</cp:coreProperties>
</file>