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565DB">
      <w:pPr>
        <w:pStyle w:val="31"/>
      </w:pPr>
      <w:r>
        <w:rPr>
          <w:rFonts w:ascii="黑体" w:hAnsi="黑体" w:eastAsia="黑体" w:cs="黑体"/>
        </w:rPr>
        <w:t>学术成果分享平台核心模块开发规范（SPEC）</w:t>
      </w:r>
    </w:p>
    <w:p w14:paraId="6408DF72">
      <w:r>
        <w:t>版本：V1.1 提交整理版    日期：2026-10-13    基线：B1《学术成果分享平台软件需求规格说明书》V1.1、A3 六用例清单、A4/A5 详细规约。性质：实现约束与可执行验收设计；不表示系统已编码、测试通过或组员已签署。</w:t>
      </w:r>
    </w:p>
    <w:p w14:paraId="336498AD">
      <w:pPr>
        <w:pStyle w:val="4"/>
      </w:pPr>
      <w:r>
        <w:t>0. 适用范围与统一约定</w:t>
      </w:r>
    </w:p>
    <w:p w14:paraId="6016E80D">
      <w:r>
        <w:rPr>
          <w:rFonts w:ascii="宋体" w:hAnsi="宋体" w:eastAsia="宋体" w:cs="宋体"/>
        </w:rPr>
        <w:t>本 SPEC 覆盖课程要求的数据清洗、成果去重、学者消歧、检索排序，并补充 B1 首期必验的专家合作网络。采集任务的许可、调度与三次重</w:t>
      </w:r>
      <w:bookmarkStart w:id="0" w:name="_GoBack"/>
      <w:bookmarkEnd w:id="0"/>
      <w:r>
        <w:rPr>
          <w:rFonts w:ascii="宋体" w:hAnsi="宋体" w:eastAsia="宋体" w:cs="宋体"/>
        </w:rPr>
        <w:t>试以 UC01、FR-25/26 为上游，门户认领审核以 UC02/03、FR-27 为上游。所有模块均以 B1 SRS 的实体、权限、版本、接口和验收口径为准；若规则冲突，先修订 SRS 并留下变更记录，再改本规范。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364A084">
        <w:trPr>
          <w:jc w:val="center"/>
        </w:trPr>
        <w:tc>
          <w:tcPr>
            <w:tcW w:w="3135" w:type="dxa"/>
            <w:shd w:val="clear" w:color="auto" w:fill="EAF1F8"/>
          </w:tcPr>
          <w:p w14:paraId="0216813E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规范</w:t>
            </w:r>
          </w:p>
        </w:tc>
        <w:tc>
          <w:tcPr>
            <w:tcW w:w="3135" w:type="dxa"/>
            <w:shd w:val="clear" w:color="auto" w:fill="EAF1F8"/>
          </w:tcPr>
          <w:p w14:paraId="09873745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输入与输出</w:t>
            </w:r>
          </w:p>
        </w:tc>
        <w:tc>
          <w:tcPr>
            <w:tcW w:w="3135" w:type="dxa"/>
            <w:shd w:val="clear" w:color="auto" w:fill="EAF1F8"/>
          </w:tcPr>
          <w:p w14:paraId="32F40328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主要追溯</w:t>
            </w:r>
          </w:p>
        </w:tc>
      </w:tr>
      <w:tr w14:paraId="5F045403">
        <w:trPr>
          <w:jc w:val="center"/>
        </w:trPr>
        <w:tc>
          <w:tcPr>
            <w:tcW w:w="3135" w:type="dxa"/>
          </w:tcPr>
          <w:p w14:paraId="33CB38E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SPEC-ETL-01 清洗与标准化</w:t>
            </w:r>
          </w:p>
        </w:tc>
        <w:tc>
          <w:tcPr>
            <w:tcW w:w="3135" w:type="dxa"/>
          </w:tcPr>
          <w:p w14:paraId="0B7D7FF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合法来源原始行 → 规范字段、字段状态、逐行处置</w:t>
            </w:r>
          </w:p>
        </w:tc>
        <w:tc>
          <w:tcPr>
            <w:tcW w:w="3135" w:type="dxa"/>
          </w:tcPr>
          <w:p w14:paraId="6E89E3E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UC01/05；FR-03/09/25/26，DR-02—04/07/09，IF-03/07/12，AT-07/14</w:t>
            </w:r>
          </w:p>
        </w:tc>
      </w:tr>
      <w:tr w14:paraId="309ACAB8">
        <w:trPr>
          <w:jc w:val="center"/>
        </w:trPr>
        <w:tc>
          <w:tcPr>
            <w:tcW w:w="3135" w:type="dxa"/>
          </w:tcPr>
          <w:p w14:paraId="7C45113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SPEC-DEDUP-01 成果去重</w:t>
            </w:r>
          </w:p>
        </w:tc>
        <w:tc>
          <w:tcPr>
            <w:tcW w:w="3135" w:type="dxa"/>
          </w:tcPr>
          <w:p w14:paraId="45953A5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已标准化记录 → 候选/待核验/已确认关联或新记录</w:t>
            </w:r>
          </w:p>
        </w:tc>
        <w:tc>
          <w:tcPr>
            <w:tcW w:w="3135" w:type="dxa"/>
          </w:tcPr>
          <w:p w14:paraId="1D7E59A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UC01/05；FR-26，DR-05/07，AT-09/14</w:t>
            </w:r>
          </w:p>
        </w:tc>
      </w:tr>
      <w:tr w14:paraId="0C177298">
        <w:trPr>
          <w:jc w:val="center"/>
        </w:trPr>
        <w:tc>
          <w:tcPr>
            <w:tcW w:w="3135" w:type="dxa"/>
          </w:tcPr>
          <w:p w14:paraId="7846D52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SPEC-DISAMB-01 人员消歧</w:t>
            </w:r>
          </w:p>
        </w:tc>
        <w:tc>
          <w:tcPr>
            <w:tcW w:w="3135" w:type="dxa"/>
          </w:tcPr>
          <w:p w14:paraId="265D67B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作者原始信息 → Person 候选及人工核验结论</w:t>
            </w:r>
          </w:p>
        </w:tc>
        <w:tc>
          <w:tcPr>
            <w:tcW w:w="3135" w:type="dxa"/>
          </w:tcPr>
          <w:p w14:paraId="0CA5FFD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UC01/02/04/05；FR-05/08/18/27，DR-01/05/09，AT-09/15</w:t>
            </w:r>
          </w:p>
        </w:tc>
      </w:tr>
      <w:tr w14:paraId="46BA6BD8">
        <w:trPr>
          <w:jc w:val="center"/>
        </w:trPr>
        <w:tc>
          <w:tcPr>
            <w:tcW w:w="3135" w:type="dxa"/>
          </w:tcPr>
          <w:p w14:paraId="48ADF6E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SPEC-SEARCH-01 检索排序与分面</w:t>
            </w:r>
          </w:p>
        </w:tc>
        <w:tc>
          <w:tcPr>
            <w:tcW w:w="3135" w:type="dxa"/>
          </w:tcPr>
          <w:p w14:paraId="1306467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当前请求和身份 → 有权结果、总数、分面、稳定顺序</w:t>
            </w:r>
          </w:p>
        </w:tc>
        <w:tc>
          <w:tcPr>
            <w:tcW w:w="3135" w:type="dxa"/>
          </w:tcPr>
          <w:p w14:paraId="2FAA39D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UC04；FR-13—18/24，IF-04/05，NFR-01/03，AT-01/03</w:t>
            </w:r>
          </w:p>
        </w:tc>
      </w:tr>
      <w:tr w14:paraId="43FCE27C">
        <w:trPr>
          <w:jc w:val="center"/>
        </w:trPr>
        <w:tc>
          <w:tcPr>
            <w:tcW w:w="3135" w:type="dxa"/>
          </w:tcPr>
          <w:p w14:paraId="1FBCEAC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SPEC-NET-01 合作网络</w:t>
            </w:r>
          </w:p>
        </w:tc>
        <w:tc>
          <w:tcPr>
            <w:tcW w:w="3135" w:type="dxa"/>
          </w:tcPr>
          <w:p w14:paraId="35E4024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当前身份和筛选 → 可读节点/边/最短路径</w:t>
            </w:r>
          </w:p>
        </w:tc>
        <w:tc>
          <w:tcPr>
            <w:tcW w:w="3135" w:type="dxa"/>
          </w:tcPr>
          <w:p w14:paraId="7C24436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UC06；FR-28/29，IF-13，AT-16/17</w:t>
            </w:r>
          </w:p>
        </w:tc>
      </w:tr>
    </w:tbl>
    <w:p w14:paraId="07D287D6">
      <w:pPr>
        <w:spacing w:after="40"/>
      </w:pPr>
    </w:p>
    <w:p w14:paraId="4864CD42">
      <w:r>
        <w:rPr>
          <w:rFonts w:ascii="宋体" w:hAnsi="宋体" w:eastAsia="宋体" w:cs="宋体"/>
          <w:b/>
        </w:rPr>
        <w:t>共同不变量</w:t>
      </w:r>
      <w:r>
        <w:rPr>
          <w:rFonts w:ascii="宋体" w:hAnsi="宋体" w:eastAsia="宋体" w:cs="宋体"/>
        </w:rPr>
        <w:t>：</w:t>
      </w:r>
      <w:r>
        <w:rPr>
          <w:rFonts w:ascii="Consolas" w:hAnsi="Consolas" w:eastAsia="Consolas" w:cs="Consolas"/>
          <w:sz w:val="19"/>
        </w:rPr>
        <w:t>achievement_id</w:t>
      </w:r>
      <w:r>
        <w:rPr>
          <w:rFonts w:ascii="宋体" w:hAnsi="宋体" w:eastAsia="宋体" w:cs="宋体"/>
        </w:rPr>
        <w:t xml:space="preserve"> 与 </w:t>
      </w:r>
      <w:r>
        <w:rPr>
          <w:rFonts w:ascii="Consolas" w:hAnsi="Consolas" w:eastAsia="Consolas" w:cs="Consolas"/>
          <w:sz w:val="19"/>
        </w:rPr>
        <w:t>person_id</w:t>
      </w:r>
      <w:r>
        <w:rPr>
          <w:rFonts w:ascii="宋体" w:hAnsi="宋体" w:eastAsia="宋体" w:cs="宋体"/>
        </w:rPr>
        <w:t xml:space="preserve"> 为平台稳定 ID。原始来源值不可被规范值覆盖。无权与不存在对象统一按 B1 接口规则处理；公开统计、搜索、导出及网络都先按同一访问规则过滤。幂等提交和版本冲突遵循 B1 5.2；时间内部 UTC、界面 UTC+8。草稿、退回、下架、删除和受限记录不得因缓存或异步索引被访客读取。</w:t>
      </w:r>
    </w:p>
    <w:p w14:paraId="1C298034">
      <w:pPr>
        <w:pStyle w:val="5"/>
      </w:pPr>
      <w:r>
        <w:t>0.1 统一阈值与约束汇总</w:t>
      </w:r>
    </w:p>
    <w:p w14:paraId="5CFCC02D">
      <w:r>
        <w:rPr>
          <w:rFonts w:ascii="宋体" w:hAnsi="宋体" w:eastAsia="宋体" w:cs="宋体"/>
        </w:rPr>
        <w:t>各节正文中的数值集中在下面一张表，便于评审取值与后续测试对齐；「性质」列区分</w:t>
      </w:r>
      <w:r>
        <w:rPr>
          <w:rFonts w:ascii="宋体" w:hAnsi="宋体" w:eastAsia="宋体" w:cs="宋体"/>
          <w:b/>
        </w:rPr>
        <w:t>已确认规则</w:t>
      </w:r>
      <w:r>
        <w:rPr>
          <w:rFonts w:ascii="宋体" w:hAnsi="宋体" w:eastAsia="宋体" w:cs="宋体"/>
        </w:rPr>
        <w:t>与</w:t>
      </w:r>
      <w:r>
        <w:rPr>
          <w:rFonts w:ascii="宋体" w:hAnsi="宋体" w:eastAsia="宋体" w:cs="宋体"/>
          <w:b/>
        </w:rPr>
        <w:t>设计目标／未确认项</w:t>
      </w:r>
      <w:r>
        <w:rPr>
          <w:rFonts w:ascii="宋体" w:hAnsi="宋体" w:eastAsia="宋体" w:cs="宋体"/>
        </w:rPr>
        <w:t>，后者不得当作已实测结果使用。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2050C05">
        <w:trPr>
          <w:jc w:val="center"/>
        </w:trPr>
        <w:tc>
          <w:tcPr>
            <w:tcW w:w="1881" w:type="dxa"/>
            <w:shd w:val="clear" w:color="auto" w:fill="EAF1F8"/>
          </w:tcPr>
          <w:p w14:paraId="12DE5053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编号</w:t>
            </w:r>
          </w:p>
        </w:tc>
        <w:tc>
          <w:tcPr>
            <w:tcW w:w="1881" w:type="dxa"/>
            <w:shd w:val="clear" w:color="auto" w:fill="EAF1F8"/>
          </w:tcPr>
          <w:p w14:paraId="2BF80FFA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项目</w:t>
            </w:r>
          </w:p>
        </w:tc>
        <w:tc>
          <w:tcPr>
            <w:tcW w:w="1881" w:type="dxa"/>
            <w:shd w:val="clear" w:color="auto" w:fill="EAF1F8"/>
          </w:tcPr>
          <w:p w14:paraId="716BEFD7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取值或规则</w:t>
            </w:r>
          </w:p>
        </w:tc>
        <w:tc>
          <w:tcPr>
            <w:tcW w:w="1881" w:type="dxa"/>
            <w:shd w:val="clear" w:color="auto" w:fill="EAF1F8"/>
          </w:tcPr>
          <w:p w14:paraId="78F74F7D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出处</w:t>
            </w:r>
          </w:p>
        </w:tc>
        <w:tc>
          <w:tcPr>
            <w:tcW w:w="1881" w:type="dxa"/>
            <w:shd w:val="clear" w:color="auto" w:fill="EAF1F8"/>
          </w:tcPr>
          <w:p w14:paraId="0BC78C40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性质</w:t>
            </w:r>
          </w:p>
        </w:tc>
      </w:tr>
      <w:tr w14:paraId="27FCCAB7">
        <w:trPr>
          <w:jc w:val="center"/>
        </w:trPr>
        <w:tc>
          <w:tcPr>
            <w:tcW w:w="1881" w:type="dxa"/>
          </w:tcPr>
          <w:p w14:paraId="1169F9C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C-01</w:t>
            </w:r>
          </w:p>
        </w:tc>
        <w:tc>
          <w:tcPr>
            <w:tcW w:w="1881" w:type="dxa"/>
          </w:tcPr>
          <w:p w14:paraId="41878AB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成果类型枚举</w:t>
            </w:r>
          </w:p>
        </w:tc>
        <w:tc>
          <w:tcPr>
            <w:tcW w:w="1881" w:type="dxa"/>
          </w:tcPr>
          <w:p w14:paraId="3817141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固定七类：paper／patent／software／award／project／teaching_material／manuscript；论文子类型单独保存</w:t>
            </w:r>
          </w:p>
        </w:tc>
        <w:tc>
          <w:tcPr>
            <w:tcW w:w="1881" w:type="dxa"/>
          </w:tcPr>
          <w:p w14:paraId="6CBF501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FR-02、DR-01</w:t>
            </w:r>
          </w:p>
        </w:tc>
        <w:tc>
          <w:tcPr>
            <w:tcW w:w="1881" w:type="dxa"/>
          </w:tcPr>
          <w:p w14:paraId="769A23C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089370C8">
        <w:trPr>
          <w:jc w:val="center"/>
        </w:trPr>
        <w:tc>
          <w:tcPr>
            <w:tcW w:w="1881" w:type="dxa"/>
          </w:tcPr>
          <w:p w14:paraId="6184F48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C-02</w:t>
            </w:r>
          </w:p>
        </w:tc>
        <w:tc>
          <w:tcPr>
            <w:tcW w:w="1881" w:type="dxa"/>
          </w:tcPr>
          <w:p w14:paraId="78C2C08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题名长度</w:t>
            </w:r>
          </w:p>
        </w:tc>
        <w:tc>
          <w:tcPr>
            <w:tcW w:w="1881" w:type="dxa"/>
          </w:tcPr>
          <w:p w14:paraId="0452C36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1—500 字</w:t>
            </w:r>
          </w:p>
        </w:tc>
        <w:tc>
          <w:tcPr>
            <w:tcW w:w="1881" w:type="dxa"/>
          </w:tcPr>
          <w:p w14:paraId="1FC9F4A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§1.2.3</w:t>
            </w:r>
          </w:p>
        </w:tc>
        <w:tc>
          <w:tcPr>
            <w:tcW w:w="1881" w:type="dxa"/>
          </w:tcPr>
          <w:p w14:paraId="5C1CD5B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47FC1FD6">
        <w:trPr>
          <w:jc w:val="center"/>
        </w:trPr>
        <w:tc>
          <w:tcPr>
            <w:tcW w:w="1881" w:type="dxa"/>
          </w:tcPr>
          <w:p w14:paraId="5054C1F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C-03</w:t>
            </w:r>
          </w:p>
        </w:tc>
        <w:tc>
          <w:tcPr>
            <w:tcW w:w="1881" w:type="dxa"/>
          </w:tcPr>
          <w:p w14:paraId="111572C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摘要长度</w:t>
            </w:r>
          </w:p>
        </w:tc>
        <w:tc>
          <w:tcPr>
            <w:tcW w:w="1881" w:type="dxa"/>
          </w:tcPr>
          <w:p w14:paraId="218BCE1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最多 20000 字</w:t>
            </w:r>
          </w:p>
        </w:tc>
        <w:tc>
          <w:tcPr>
            <w:tcW w:w="1881" w:type="dxa"/>
          </w:tcPr>
          <w:p w14:paraId="360E089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§1.2.3</w:t>
            </w:r>
          </w:p>
        </w:tc>
        <w:tc>
          <w:tcPr>
            <w:tcW w:w="1881" w:type="dxa"/>
          </w:tcPr>
          <w:p w14:paraId="026EBAD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79249B07">
        <w:trPr>
          <w:jc w:val="center"/>
        </w:trPr>
        <w:tc>
          <w:tcPr>
            <w:tcW w:w="1881" w:type="dxa"/>
          </w:tcPr>
          <w:p w14:paraId="14EA00E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C-04</w:t>
            </w:r>
          </w:p>
        </w:tc>
        <w:tc>
          <w:tcPr>
            <w:tcW w:w="1881" w:type="dxa"/>
          </w:tcPr>
          <w:p w14:paraId="4FAA16C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关键词</w:t>
            </w:r>
          </w:p>
        </w:tc>
        <w:tc>
          <w:tcPr>
            <w:tcW w:w="1881" w:type="dxa"/>
          </w:tcPr>
          <w:p w14:paraId="140154F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最多 20 个，每个最多 100 字</w:t>
            </w:r>
          </w:p>
        </w:tc>
        <w:tc>
          <w:tcPr>
            <w:tcW w:w="1881" w:type="dxa"/>
          </w:tcPr>
          <w:p w14:paraId="72DF51F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§1.2.3</w:t>
            </w:r>
          </w:p>
        </w:tc>
        <w:tc>
          <w:tcPr>
            <w:tcW w:w="1881" w:type="dxa"/>
          </w:tcPr>
          <w:p w14:paraId="4BF44B9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35E2DECF">
        <w:trPr>
          <w:jc w:val="center"/>
        </w:trPr>
        <w:tc>
          <w:tcPr>
            <w:tcW w:w="1881" w:type="dxa"/>
          </w:tcPr>
          <w:p w14:paraId="098F40E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C-05</w:t>
            </w:r>
          </w:p>
        </w:tc>
        <w:tc>
          <w:tcPr>
            <w:tcW w:w="1881" w:type="dxa"/>
          </w:tcPr>
          <w:p w14:paraId="6132E1C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单批导入上限</w:t>
            </w:r>
          </w:p>
        </w:tc>
        <w:tc>
          <w:tcPr>
            <w:tcW w:w="1881" w:type="dxa"/>
          </w:tcPr>
          <w:p w14:paraId="16DE7C6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1000 条且 10 MB（UTF-8 CSV、标准 BibTeX）</w:t>
            </w:r>
          </w:p>
        </w:tc>
        <w:tc>
          <w:tcPr>
            <w:tcW w:w="1881" w:type="dxa"/>
          </w:tcPr>
          <w:p w14:paraId="7F59B34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IF-03／IF-07、NFR-02</w:t>
            </w:r>
          </w:p>
        </w:tc>
        <w:tc>
          <w:tcPr>
            <w:tcW w:w="1881" w:type="dxa"/>
          </w:tcPr>
          <w:p w14:paraId="0C5B3E2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53212337">
        <w:trPr>
          <w:jc w:val="center"/>
        </w:trPr>
        <w:tc>
          <w:tcPr>
            <w:tcW w:w="1881" w:type="dxa"/>
          </w:tcPr>
          <w:p w14:paraId="7B6D56C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C-06</w:t>
            </w:r>
          </w:p>
        </w:tc>
        <w:tc>
          <w:tcPr>
            <w:tcW w:w="1881" w:type="dxa"/>
          </w:tcPr>
          <w:p w14:paraId="3E216CA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导入格式</w:t>
            </w:r>
          </w:p>
        </w:tc>
        <w:tc>
          <w:tcPr>
            <w:tcW w:w="1881" w:type="dxa"/>
          </w:tcPr>
          <w:p w14:paraId="386503A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人工登记、UTF-8 CSV、标准 BibTeX；</w:t>
            </w:r>
            <w:r>
              <w:rPr>
                <w:rFonts w:ascii="宋体" w:hAnsi="宋体" w:eastAsia="宋体" w:cs="宋体"/>
                <w:b/>
                <w:sz w:val="19"/>
              </w:rPr>
              <w:t>知网 TXT 不解析</w:t>
            </w:r>
          </w:p>
        </w:tc>
        <w:tc>
          <w:tcPr>
            <w:tcW w:w="1881" w:type="dxa"/>
          </w:tcPr>
          <w:p w14:paraId="07C06B0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IF-03、§1.1</w:t>
            </w:r>
          </w:p>
        </w:tc>
        <w:tc>
          <w:tcPr>
            <w:tcW w:w="1881" w:type="dxa"/>
          </w:tcPr>
          <w:p w14:paraId="4722F8A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78F41462">
        <w:trPr>
          <w:jc w:val="center"/>
        </w:trPr>
        <w:tc>
          <w:tcPr>
            <w:tcW w:w="1881" w:type="dxa"/>
          </w:tcPr>
          <w:p w14:paraId="2830BAC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C-07</w:t>
            </w:r>
          </w:p>
        </w:tc>
        <w:tc>
          <w:tcPr>
            <w:tcW w:w="1881" w:type="dxa"/>
          </w:tcPr>
          <w:p w14:paraId="025B6BA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成果年度</w:t>
            </w:r>
          </w:p>
        </w:tc>
        <w:tc>
          <w:tcPr>
            <w:tcW w:w="1881" w:type="dxa"/>
          </w:tcPr>
          <w:p w14:paraId="11143C7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人工送审必须为四位年度；合法历史导入的未知年可空并留草稿</w:t>
            </w:r>
          </w:p>
        </w:tc>
        <w:tc>
          <w:tcPr>
            <w:tcW w:w="1881" w:type="dxa"/>
          </w:tcPr>
          <w:p w14:paraId="061B4E0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FR-03／09、DR-04</w:t>
            </w:r>
          </w:p>
        </w:tc>
        <w:tc>
          <w:tcPr>
            <w:tcW w:w="1881" w:type="dxa"/>
          </w:tcPr>
          <w:p w14:paraId="2057E7E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21470F5E">
        <w:trPr>
          <w:jc w:val="center"/>
        </w:trPr>
        <w:tc>
          <w:tcPr>
            <w:tcW w:w="1881" w:type="dxa"/>
          </w:tcPr>
          <w:p w14:paraId="5AC3A85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C-08</w:t>
            </w:r>
          </w:p>
        </w:tc>
        <w:tc>
          <w:tcPr>
            <w:tcW w:w="1881" w:type="dxa"/>
          </w:tcPr>
          <w:p w14:paraId="2F2EAEB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字段状态取值</w:t>
            </w:r>
          </w:p>
        </w:tc>
        <w:tc>
          <w:tcPr>
            <w:tcW w:w="1881" w:type="dxa"/>
          </w:tcPr>
          <w:p w14:paraId="747D844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有／缺失／不适用／无法核验</w:t>
            </w:r>
          </w:p>
        </w:tc>
        <w:tc>
          <w:tcPr>
            <w:tcW w:w="1881" w:type="dxa"/>
          </w:tcPr>
          <w:p w14:paraId="07C6796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DR-03／09</w:t>
            </w:r>
          </w:p>
        </w:tc>
        <w:tc>
          <w:tcPr>
            <w:tcW w:w="1881" w:type="dxa"/>
          </w:tcPr>
          <w:p w14:paraId="279AAC1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6457FCEC">
        <w:trPr>
          <w:jc w:val="center"/>
        </w:trPr>
        <w:tc>
          <w:tcPr>
            <w:tcW w:w="1881" w:type="dxa"/>
          </w:tcPr>
          <w:p w14:paraId="4B63BBA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C-09</w:t>
            </w:r>
          </w:p>
        </w:tc>
        <w:tc>
          <w:tcPr>
            <w:tcW w:w="1881" w:type="dxa"/>
          </w:tcPr>
          <w:p w14:paraId="5D466BB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来源 URL 协议</w:t>
            </w:r>
          </w:p>
        </w:tc>
        <w:tc>
          <w:tcPr>
            <w:tcW w:w="1881" w:type="dxa"/>
          </w:tcPr>
          <w:p w14:paraId="4601222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限 http／https</w:t>
            </w:r>
          </w:p>
        </w:tc>
        <w:tc>
          <w:tcPr>
            <w:tcW w:w="1881" w:type="dxa"/>
          </w:tcPr>
          <w:p w14:paraId="3BB68D0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DR-02</w:t>
            </w:r>
          </w:p>
        </w:tc>
        <w:tc>
          <w:tcPr>
            <w:tcW w:w="1881" w:type="dxa"/>
          </w:tcPr>
          <w:p w14:paraId="03D6883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49B98789">
        <w:trPr>
          <w:jc w:val="center"/>
        </w:trPr>
        <w:tc>
          <w:tcPr>
            <w:tcW w:w="1881" w:type="dxa"/>
          </w:tcPr>
          <w:p w14:paraId="3468E54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C-10</w:t>
            </w:r>
          </w:p>
        </w:tc>
        <w:tc>
          <w:tcPr>
            <w:tcW w:w="1881" w:type="dxa"/>
          </w:tcPr>
          <w:p w14:paraId="3BC0B12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分页</w:t>
            </w:r>
          </w:p>
        </w:tc>
        <w:tc>
          <w:tcPr>
            <w:tcW w:w="1881" w:type="dxa"/>
          </w:tcPr>
          <w:p w14:paraId="226E1F6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默认每页 20 条，最大 100 条</w:t>
            </w:r>
          </w:p>
        </w:tc>
        <w:tc>
          <w:tcPr>
            <w:tcW w:w="1881" w:type="dxa"/>
          </w:tcPr>
          <w:p w14:paraId="5C61C03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IF-04、§4.1.1</w:t>
            </w:r>
          </w:p>
        </w:tc>
        <w:tc>
          <w:tcPr>
            <w:tcW w:w="1881" w:type="dxa"/>
          </w:tcPr>
          <w:p w14:paraId="76D31AD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493F6FC0">
        <w:trPr>
          <w:jc w:val="center"/>
        </w:trPr>
        <w:tc>
          <w:tcPr>
            <w:tcW w:w="1881" w:type="dxa"/>
          </w:tcPr>
          <w:p w14:paraId="219CEF7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C-11</w:t>
            </w:r>
          </w:p>
        </w:tc>
        <w:tc>
          <w:tcPr>
            <w:tcW w:w="1881" w:type="dxa"/>
          </w:tcPr>
          <w:p w14:paraId="401563F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导出上限</w:t>
            </w:r>
          </w:p>
        </w:tc>
        <w:tc>
          <w:tcPr>
            <w:tcW w:w="1881" w:type="dxa"/>
          </w:tcPr>
          <w:p w14:paraId="5368CF4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单批最多 1000 条且 10 MB，不含附件</w:t>
            </w:r>
          </w:p>
        </w:tc>
        <w:tc>
          <w:tcPr>
            <w:tcW w:w="1881" w:type="dxa"/>
          </w:tcPr>
          <w:p w14:paraId="0A959DB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FR-20、IF-10</w:t>
            </w:r>
          </w:p>
        </w:tc>
        <w:tc>
          <w:tcPr>
            <w:tcW w:w="1881" w:type="dxa"/>
          </w:tcPr>
          <w:p w14:paraId="18F7C73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57079ABF">
        <w:trPr>
          <w:jc w:val="center"/>
        </w:trPr>
        <w:tc>
          <w:tcPr>
            <w:tcW w:w="1881" w:type="dxa"/>
          </w:tcPr>
          <w:p w14:paraId="1549985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C-12</w:t>
            </w:r>
          </w:p>
        </w:tc>
        <w:tc>
          <w:tcPr>
            <w:tcW w:w="1881" w:type="dxa"/>
          </w:tcPr>
          <w:p w14:paraId="3F606BD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附件约束</w:t>
            </w:r>
          </w:p>
        </w:tc>
        <w:tc>
          <w:tcPr>
            <w:tcW w:w="1881" w:type="dxa"/>
          </w:tcPr>
          <w:p w14:paraId="76A72B9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单附件 ≤ 20 MB，每条 ≤ 5 个，仅 PDF／PNG／JPG／JPEG</w:t>
            </w:r>
          </w:p>
        </w:tc>
        <w:tc>
          <w:tcPr>
            <w:tcW w:w="1881" w:type="dxa"/>
          </w:tcPr>
          <w:p w14:paraId="378F1F2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FR-04、NFR-05</w:t>
            </w:r>
          </w:p>
        </w:tc>
        <w:tc>
          <w:tcPr>
            <w:tcW w:w="1881" w:type="dxa"/>
          </w:tcPr>
          <w:p w14:paraId="0B63BFC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71ABFCE4">
        <w:trPr>
          <w:jc w:val="center"/>
        </w:trPr>
        <w:tc>
          <w:tcPr>
            <w:tcW w:w="1881" w:type="dxa"/>
          </w:tcPr>
          <w:p w14:paraId="5927F82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C-13</w:t>
            </w:r>
          </w:p>
        </w:tc>
        <w:tc>
          <w:tcPr>
            <w:tcW w:w="1881" w:type="dxa"/>
          </w:tcPr>
          <w:p w14:paraId="757C4C9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采集重试上限</w:t>
            </w:r>
          </w:p>
        </w:tc>
        <w:tc>
          <w:tcPr>
            <w:tcW w:w="1881" w:type="dxa"/>
          </w:tcPr>
          <w:p w14:paraId="08CFB7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最多 3 次（</w:t>
            </w:r>
            <w:r>
              <w:rPr>
                <w:rFonts w:ascii="宋体" w:hAnsi="宋体" w:eastAsia="宋体" w:cs="宋体"/>
                <w:b/>
                <w:sz w:val="19"/>
              </w:rPr>
              <w:t>设计上限，不是实测的来源行为</w:t>
            </w:r>
            <w:r>
              <w:rPr>
                <w:rFonts w:ascii="宋体" w:hAnsi="宋体" w:eastAsia="宋体" w:cs="宋体"/>
                <w:sz w:val="19"/>
              </w:rPr>
              <w:t>）</w:t>
            </w:r>
          </w:p>
        </w:tc>
        <w:tc>
          <w:tcPr>
            <w:tcW w:w="1881" w:type="dxa"/>
          </w:tcPr>
          <w:p w14:paraId="298DDCC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FR-25／26</w:t>
            </w:r>
          </w:p>
        </w:tc>
        <w:tc>
          <w:tcPr>
            <w:tcW w:w="1881" w:type="dxa"/>
          </w:tcPr>
          <w:p w14:paraId="29F4D51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设计规则</w:t>
            </w:r>
          </w:p>
        </w:tc>
      </w:tr>
      <w:tr w14:paraId="5ADAA302">
        <w:trPr>
          <w:jc w:val="center"/>
        </w:trPr>
        <w:tc>
          <w:tcPr>
            <w:tcW w:w="1881" w:type="dxa"/>
          </w:tcPr>
          <w:p w14:paraId="62D326F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C-14</w:t>
            </w:r>
          </w:p>
        </w:tc>
        <w:tc>
          <w:tcPr>
            <w:tcW w:w="1881" w:type="dxa"/>
          </w:tcPr>
          <w:p w14:paraId="7CE14A3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保存检索与收藏</w:t>
            </w:r>
          </w:p>
        </w:tc>
        <w:tc>
          <w:tcPr>
            <w:tcW w:w="1881" w:type="dxa"/>
          </w:tcPr>
          <w:p w14:paraId="08EA3A1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≤ 50 个保存检索条件，≤ 500 条收藏</w:t>
            </w:r>
          </w:p>
        </w:tc>
        <w:tc>
          <w:tcPr>
            <w:tcW w:w="1881" w:type="dxa"/>
          </w:tcPr>
          <w:p w14:paraId="27C2FA8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FR-23</w:t>
            </w:r>
          </w:p>
        </w:tc>
        <w:tc>
          <w:tcPr>
            <w:tcW w:w="1881" w:type="dxa"/>
          </w:tcPr>
          <w:p w14:paraId="36B516B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54A414B0">
        <w:trPr>
          <w:jc w:val="center"/>
        </w:trPr>
        <w:tc>
          <w:tcPr>
            <w:tcW w:w="1881" w:type="dxa"/>
          </w:tcPr>
          <w:p w14:paraId="0739826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C-15</w:t>
            </w:r>
          </w:p>
        </w:tc>
        <w:tc>
          <w:tcPr>
            <w:tcW w:w="1881" w:type="dxa"/>
          </w:tcPr>
          <w:p w14:paraId="758DE53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存储时间口径</w:t>
            </w:r>
          </w:p>
        </w:tc>
        <w:tc>
          <w:tcPr>
            <w:tcW w:w="1881" w:type="dxa"/>
          </w:tcPr>
          <w:p w14:paraId="076AFD4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内部 UTC，界面 UTC+8</w:t>
            </w:r>
          </w:p>
        </w:tc>
        <w:tc>
          <w:tcPr>
            <w:tcW w:w="1881" w:type="dxa"/>
          </w:tcPr>
          <w:p w14:paraId="6B371DB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SRS 5.2</w:t>
            </w:r>
          </w:p>
        </w:tc>
        <w:tc>
          <w:tcPr>
            <w:tcW w:w="1881" w:type="dxa"/>
          </w:tcPr>
          <w:p w14:paraId="7D210CE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6F9CC112">
        <w:trPr>
          <w:jc w:val="center"/>
        </w:trPr>
        <w:tc>
          <w:tcPr>
            <w:tcW w:w="1881" w:type="dxa"/>
          </w:tcPr>
          <w:p w14:paraId="5427F91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C-16</w:t>
            </w:r>
          </w:p>
        </w:tc>
        <w:tc>
          <w:tcPr>
            <w:tcW w:w="1881" w:type="dxa"/>
          </w:tcPr>
          <w:p w14:paraId="30B5DC6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性能设计目标</w:t>
            </w:r>
          </w:p>
        </w:tc>
        <w:tc>
          <w:tcPr>
            <w:tcW w:w="1881" w:type="dxa"/>
          </w:tcPr>
          <w:p w14:paraId="1DB2879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 vCPU／8 GB、20 并发、P95 ≤ 2 秒、5xx &lt; 1%（</w:t>
            </w:r>
            <w:r>
              <w:rPr>
                <w:rFonts w:ascii="宋体" w:hAnsi="宋体" w:eastAsia="宋体" w:cs="宋体"/>
                <w:b/>
                <w:sz w:val="19"/>
              </w:rPr>
              <w:t>均为目标，未实测</w:t>
            </w:r>
            <w:r>
              <w:rPr>
                <w:rFonts w:ascii="宋体" w:hAnsi="宋体" w:eastAsia="宋体" w:cs="宋体"/>
                <w:sz w:val="19"/>
              </w:rPr>
              <w:t>）</w:t>
            </w:r>
          </w:p>
        </w:tc>
        <w:tc>
          <w:tcPr>
            <w:tcW w:w="1881" w:type="dxa"/>
          </w:tcPr>
          <w:p w14:paraId="5DFC7E8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NFR-01、AT-01</w:t>
            </w:r>
          </w:p>
        </w:tc>
        <w:tc>
          <w:tcPr>
            <w:tcW w:w="1881" w:type="dxa"/>
          </w:tcPr>
          <w:p w14:paraId="59F8A16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设计目标</w:t>
            </w:r>
          </w:p>
        </w:tc>
      </w:tr>
      <w:tr w14:paraId="5DDED278">
        <w:trPr>
          <w:jc w:val="center"/>
        </w:trPr>
        <w:tc>
          <w:tcPr>
            <w:tcW w:w="1881" w:type="dxa"/>
          </w:tcPr>
          <w:p w14:paraId="34EE9C5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C-17</w:t>
            </w:r>
          </w:p>
        </w:tc>
        <w:tc>
          <w:tcPr>
            <w:tcW w:w="1881" w:type="dxa"/>
          </w:tcPr>
          <w:p w14:paraId="586D8A8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相似候选阈值</w:t>
            </w:r>
          </w:p>
        </w:tc>
        <w:tc>
          <w:tcPr>
            <w:tcW w:w="1881" w:type="dxa"/>
          </w:tcPr>
          <w:p w14:paraId="2B89B34E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未确认</w:t>
            </w:r>
            <w:r>
              <w:rPr>
                <w:rFonts w:ascii="宋体" w:hAnsi="宋体" w:eastAsia="宋体" w:cs="宋体"/>
                <w:sz w:val="19"/>
              </w:rPr>
              <w:t>：候选分数只供排序，自动合并开关初版关闭，不写成已确认业务规则</w:t>
            </w:r>
          </w:p>
        </w:tc>
        <w:tc>
          <w:tcPr>
            <w:tcW w:w="1881" w:type="dxa"/>
          </w:tcPr>
          <w:p w14:paraId="6220B21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§2.1</w:t>
            </w:r>
          </w:p>
        </w:tc>
        <w:tc>
          <w:tcPr>
            <w:tcW w:w="1881" w:type="dxa"/>
          </w:tcPr>
          <w:p w14:paraId="2FB329E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未确认</w:t>
            </w:r>
          </w:p>
        </w:tc>
      </w:tr>
      <w:tr w14:paraId="5C12C264">
        <w:trPr>
          <w:jc w:val="center"/>
        </w:trPr>
        <w:tc>
          <w:tcPr>
            <w:tcW w:w="1881" w:type="dxa"/>
          </w:tcPr>
          <w:p w14:paraId="1E8FA9C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C-18</w:t>
            </w:r>
          </w:p>
        </w:tc>
        <w:tc>
          <w:tcPr>
            <w:tcW w:w="1881" w:type="dxa"/>
          </w:tcPr>
          <w:p w14:paraId="58EB218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合作网络最短路径口径</w:t>
            </w:r>
          </w:p>
        </w:tc>
        <w:tc>
          <w:tcPr>
            <w:tcW w:w="1881" w:type="dxa"/>
          </w:tcPr>
          <w:p w14:paraId="4043C7F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过滤后的无向图上按边数最少；多条等长时按稳定 Person ID 顺序取一条并标注口径</w:t>
            </w:r>
          </w:p>
        </w:tc>
        <w:tc>
          <w:tcPr>
            <w:tcW w:w="1881" w:type="dxa"/>
          </w:tcPr>
          <w:p w14:paraId="249F075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§5</w:t>
            </w:r>
          </w:p>
        </w:tc>
        <w:tc>
          <w:tcPr>
            <w:tcW w:w="1881" w:type="dxa"/>
          </w:tcPr>
          <w:p w14:paraId="26BF9B0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  <w:tr w14:paraId="4B58FAB9">
        <w:trPr>
          <w:jc w:val="center"/>
        </w:trPr>
        <w:tc>
          <w:tcPr>
            <w:tcW w:w="1881" w:type="dxa"/>
          </w:tcPr>
          <w:p w14:paraId="44C2169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C-19</w:t>
            </w:r>
          </w:p>
        </w:tc>
        <w:tc>
          <w:tcPr>
            <w:tcW w:w="1881" w:type="dxa"/>
          </w:tcPr>
          <w:p w14:paraId="6ADC421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AT-17 最小图样例</w:t>
            </w:r>
          </w:p>
        </w:tc>
        <w:tc>
          <w:tcPr>
            <w:tcW w:w="1881" w:type="dxa"/>
          </w:tcPr>
          <w:p w14:paraId="021AD7D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A—B、B—C 各 1 条可读共著，A—C 无边；查询 A→C 返回 A—B—C</w:t>
            </w:r>
          </w:p>
        </w:tc>
        <w:tc>
          <w:tcPr>
            <w:tcW w:w="1881" w:type="dxa"/>
          </w:tcPr>
          <w:p w14:paraId="58EDFF9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AT-17</w:t>
            </w:r>
          </w:p>
        </w:tc>
        <w:tc>
          <w:tcPr>
            <w:tcW w:w="1881" w:type="dxa"/>
          </w:tcPr>
          <w:p w14:paraId="04EA8AD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已确认</w:t>
            </w:r>
          </w:p>
        </w:tc>
      </w:tr>
    </w:tbl>
    <w:p w14:paraId="63F8D8C5">
      <w:pPr>
        <w:spacing w:after="40"/>
      </w:pPr>
    </w:p>
    <w:p w14:paraId="14117616">
      <w:pPr>
        <w:spacing w:after="120"/>
        <w:ind w:left="454"/>
      </w:pPr>
      <w:r>
        <w:rPr>
          <w:rFonts w:ascii="宋体" w:hAnsi="宋体" w:eastAsia="宋体" w:cs="宋体"/>
          <w:i/>
          <w:color w:val="445566"/>
          <w:sz w:val="19"/>
        </w:rPr>
        <w:t>若上表与 B1 SRS 条款冲突，以 SRS 为准并同步修订本表；C-13 与 C-16 只能作为设计与测试输入，不得写成运行测量结果。</w:t>
      </w:r>
    </w:p>
    <w:p w14:paraId="4126AC82">
      <w:pPr>
        <w:pStyle w:val="4"/>
      </w:pPr>
      <w:r>
        <w:t>1. SPEC-ETL-01 清洗与字段标准化</w:t>
      </w:r>
    </w:p>
    <w:p w14:paraId="00E3A357">
      <w:pPr>
        <w:spacing w:after="200"/>
        <w:jc w:val="center"/>
      </w:pPr>
      <w:r>
        <w:drawing>
          <wp:inline distT="0" distB="0" distL="114300" distR="114300">
            <wp:extent cx="5759450" cy="61690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3EA0">
      <w:r>
        <w:rPr>
          <w:rFonts w:ascii="宋体" w:hAnsi="宋体" w:eastAsia="宋体" w:cs="宋体"/>
          <w:i/>
        </w:rPr>
        <w:t>图 1-1　SPEC-ETL-01 清洗与字段标准化流程（来源：CodeArts Modeling 导出；对应 FR-03／09／25／26，DR-02—04／07／09，AT-07／14）</w:t>
      </w:r>
    </w:p>
    <w:p w14:paraId="7843C464">
      <w:pPr>
        <w:pStyle w:val="5"/>
      </w:pPr>
      <w:r>
        <w:t>1.1 输入、输出及边界</w:t>
      </w:r>
    </w:p>
    <w:p w14:paraId="37A7AB3B">
      <w:r>
        <w:rPr>
          <w:rFonts w:ascii="宋体" w:hAnsi="宋体" w:eastAsia="宋体" w:cs="宋体"/>
        </w:rPr>
        <w:t>输入为人工登记、UTF-8 CSV、标准 BibTeX 或经许可的采集任务行，连同来源标识、许可依据、获取时间、批次/行号、原始字段。CSV/BibTeX 的 1000 条和 10 MB 单批上限由 IF-03/07 与 NFR-02 在预览前检查；未定义语法的知网 TXT 不直接解析。无许可的自动采集配置在 UC01 阶段拒绝运行，不能让清洗模块补办授权。</w:t>
      </w:r>
    </w:p>
    <w:p w14:paraId="414A9FD1">
      <w:r>
        <w:rPr>
          <w:rFonts w:ascii="宋体" w:hAnsi="宋体" w:eastAsia="宋体" w:cs="宋体"/>
        </w:rPr>
        <w:t xml:space="preserve">输出为 </w:t>
      </w:r>
      <w:r>
        <w:rPr>
          <w:rFonts w:ascii="Consolas" w:hAnsi="Consolas" w:eastAsia="Consolas" w:cs="Consolas"/>
          <w:sz w:val="19"/>
        </w:rPr>
        <w:t>normalized_record</w:t>
      </w:r>
      <w:r>
        <w:rPr>
          <w:rFonts w:ascii="宋体" w:hAnsi="宋体" w:eastAsia="宋体" w:cs="宋体"/>
        </w:rPr>
        <w:t xml:space="preserve">、每字段 </w:t>
      </w:r>
      <w:r>
        <w:rPr>
          <w:rFonts w:ascii="Consolas" w:hAnsi="Consolas" w:eastAsia="Consolas" w:cs="Consolas"/>
          <w:sz w:val="19"/>
        </w:rPr>
        <w:t>raw_value/normalized_value/status/provenance</w:t>
      </w:r>
      <w:r>
        <w:rPr>
          <w:rFonts w:ascii="宋体" w:hAnsi="宋体" w:eastAsia="宋体" w:cs="宋体"/>
        </w:rPr>
        <w:t>、</w:t>
      </w:r>
      <w:r>
        <w:rPr>
          <w:rFonts w:ascii="Consolas" w:hAnsi="Consolas" w:eastAsia="Consolas" w:cs="Consolas"/>
          <w:sz w:val="19"/>
        </w:rPr>
        <w:t>row_result</w:t>
      </w:r>
      <w:r>
        <w:rPr>
          <w:rFonts w:ascii="宋体" w:hAnsi="宋体" w:eastAsia="宋体" w:cs="宋体"/>
        </w:rPr>
        <w:t xml:space="preserve">（有效/待补/错误/跳过/待人工确认）和结构化 </w:t>
      </w:r>
      <w:r>
        <w:rPr>
          <w:rFonts w:ascii="Consolas" w:hAnsi="Consolas" w:eastAsia="Consolas" w:cs="Consolas"/>
          <w:sz w:val="19"/>
        </w:rPr>
        <w:t>field_errors</w:t>
      </w:r>
      <w:r>
        <w:rPr>
          <w:rFonts w:ascii="宋体" w:hAnsi="宋体" w:eastAsia="宋体" w:cs="宋体"/>
        </w:rPr>
        <w:t>。任一行失败只隔离该行，不把整个批次伪报成功；批次分别累计新增、更新、跳过、失败。原始记录、错误及处理版本须可回放和审计。</w:t>
      </w:r>
    </w:p>
    <w:p w14:paraId="67743305">
      <w:pPr>
        <w:pStyle w:val="5"/>
      </w:pPr>
      <w:r>
        <w:t>1.2 处理顺序</w:t>
      </w:r>
    </w:p>
    <w:p w14:paraId="433EEC1F">
      <w:pPr>
        <w:pStyle w:val="14"/>
      </w:pPr>
      <w:r>
        <w:rPr>
          <w:rFonts w:ascii="宋体" w:hAnsi="宋体" w:eastAsia="宋体" w:cs="宋体"/>
          <w:b/>
        </w:rPr>
        <w:t>结构校验</w:t>
      </w:r>
      <w:r>
        <w:rPr>
          <w:rFonts w:ascii="宋体" w:hAnsi="宋体" w:eastAsia="宋体" w:cs="宋体"/>
        </w:rPr>
        <w:t>：校验 UTF-8、CSV 引号/JSON 数组、BibTeX 基本语法、行号与单批大小。解析失败保留原行和错误代码，不写入正式成果。</w:t>
      </w:r>
    </w:p>
    <w:p w14:paraId="45008AB5">
      <w:pPr>
        <w:pStyle w:val="14"/>
      </w:pPr>
      <w:r>
        <w:rPr>
          <w:rFonts w:ascii="宋体" w:hAnsi="宋体" w:eastAsia="宋体" w:cs="宋体"/>
          <w:b/>
        </w:rPr>
        <w:t>类型映射</w:t>
      </w:r>
      <w:r>
        <w:rPr>
          <w:rFonts w:ascii="宋体" w:hAnsi="宋体" w:eastAsia="宋体" w:cs="宋体"/>
        </w:rPr>
        <w:t xml:space="preserve">：只接受 B1 固定七类 </w:t>
      </w:r>
      <w:r>
        <w:rPr>
          <w:rFonts w:ascii="Consolas" w:hAnsi="Consolas" w:eastAsia="Consolas" w:cs="Consolas"/>
          <w:sz w:val="19"/>
        </w:rPr>
        <w:t>paper/patent/software/award/project/teaching_material/manuscript</w:t>
      </w:r>
      <w:r>
        <w:rPr>
          <w:rFonts w:ascii="宋体" w:hAnsi="宋体" w:eastAsia="宋体" w:cs="宋体"/>
        </w:rPr>
        <w:t>；论文子类型单独保存。未知类型标待映射，不擅自改成论文。外部字段按有版本的映射表转换。</w:t>
      </w:r>
    </w:p>
    <w:p w14:paraId="764743F4">
      <w:pPr>
        <w:pStyle w:val="14"/>
      </w:pPr>
      <w:r>
        <w:rPr>
          <w:rFonts w:ascii="宋体" w:hAnsi="宋体" w:eastAsia="宋体" w:cs="宋体"/>
          <w:b/>
        </w:rPr>
        <w:t>文本规范</w:t>
      </w:r>
      <w:r>
        <w:rPr>
          <w:rFonts w:ascii="宋体" w:hAnsi="宋体" w:eastAsia="宋体" w:cs="宋体"/>
        </w:rPr>
        <w:t>：去首尾空白、统一可判定编码；题名 1—500 字，摘要最多 20000 字，关键词最多 20 个且每个最多 100 字。保留原文本；不自动译名、编造 DOI、机构或作者。</w:t>
      </w:r>
    </w:p>
    <w:p w14:paraId="64F06406">
      <w:pPr>
        <w:pStyle w:val="14"/>
      </w:pPr>
      <w:r>
        <w:rPr>
          <w:rFonts w:ascii="宋体" w:hAnsi="宋体" w:eastAsia="宋体" w:cs="宋体"/>
          <w:b/>
        </w:rPr>
        <w:t>日期与年度</w:t>
      </w:r>
      <w:r>
        <w:rPr>
          <w:rFonts w:ascii="宋体" w:hAnsi="宋体" w:eastAsia="宋体" w:cs="宋体"/>
        </w:rPr>
        <w:t>：人工送审必须有四位成果年度；合法历史导入的未知年可保存为草稿空值。</w:t>
      </w:r>
      <w:r>
        <w:rPr>
          <w:rFonts w:ascii="Consolas" w:hAnsi="Consolas" w:eastAsia="Consolas" w:cs="Consolas"/>
          <w:sz w:val="19"/>
        </w:rPr>
        <w:t>publication_year</w:t>
      </w:r>
      <w:r>
        <w:rPr>
          <w:rFonts w:ascii="宋体" w:hAnsi="宋体" w:eastAsia="宋体" w:cs="宋体"/>
        </w:rPr>
        <w:t>、正式日期、首发日期、来源列表日期和来源分组年度分列。不能用知网列表日期或来源分组年度静默替代成果年度；正式日期推年须留推导标识并待核。</w:t>
      </w:r>
    </w:p>
    <w:p w14:paraId="1DC1C9A6">
      <w:pPr>
        <w:pStyle w:val="14"/>
      </w:pPr>
      <w:r>
        <w:rPr>
          <w:rFonts w:ascii="宋体" w:hAnsi="宋体" w:eastAsia="宋体" w:cs="宋体"/>
          <w:b/>
        </w:rPr>
        <w:t>标识与来源</w:t>
      </w:r>
      <w:r>
        <w:rPr>
          <w:rFonts w:ascii="宋体" w:hAnsi="宋体" w:eastAsia="宋体" w:cs="宋体"/>
        </w:rPr>
        <w:t>：DOI 去解析前缀、空白并做大小写规范，用于候选；语法合法不等于外部真实存在。专利号、软著号、立项号保存在适用的类型标识字段，不套 DOI。来源 URL 限 http/https，保留获取时间、检索条件与许可说明。</w:t>
      </w:r>
    </w:p>
    <w:p w14:paraId="6ACE448C">
      <w:pPr>
        <w:pStyle w:val="14"/>
      </w:pPr>
      <w:r>
        <w:rPr>
          <w:rFonts w:ascii="宋体" w:hAnsi="宋体" w:eastAsia="宋体" w:cs="宋体"/>
          <w:b/>
        </w:rPr>
        <w:t>字段状态</w:t>
      </w:r>
      <w:r>
        <w:rPr>
          <w:rFonts w:ascii="宋体" w:hAnsi="宋体" w:eastAsia="宋体" w:cs="宋体"/>
        </w:rPr>
        <w:t>：每个适用字段标有/缺失/不适用/无法核验。DOI、关键词可缺失；页面未展示不证明原文不存在。冲突字段保留原值并建核验任务。</w:t>
      </w:r>
    </w:p>
    <w:p w14:paraId="5CD4DE74">
      <w:pPr>
        <w:pStyle w:val="14"/>
      </w:pPr>
      <w:r>
        <w:rPr>
          <w:rFonts w:ascii="宋体" w:hAnsi="宋体" w:eastAsia="宋体" w:cs="宋体"/>
          <w:b/>
        </w:rPr>
        <w:t>送去重与消歧</w:t>
      </w:r>
      <w:r>
        <w:rPr>
          <w:rFonts w:ascii="宋体" w:hAnsi="宋体" w:eastAsia="宋体" w:cs="宋体"/>
        </w:rPr>
        <w:t>：只对通过结构与基础校验的规范记录生成候选。模型建议只能进入建议层，人工确认后才写入正式字段。</w:t>
      </w:r>
    </w:p>
    <w:p w14:paraId="6DFB95D9">
      <w:pPr>
        <w:pStyle w:val="14"/>
      </w:pPr>
      <w:r>
        <w:rPr>
          <w:rFonts w:ascii="宋体" w:hAnsi="宋体" w:eastAsia="宋体" w:cs="宋体"/>
          <w:b/>
        </w:rPr>
        <w:t>预览与确认</w:t>
      </w:r>
      <w:r>
        <w:rPr>
          <w:rFonts w:ascii="宋体" w:hAnsi="宋体" w:eastAsia="宋体" w:cs="宋体"/>
        </w:rPr>
        <w:t>：返回逐行差异、可导入/待补/失败数。确认时用用户、幂等键、文件摘要和批次版本控制；同键同内容返回首结果，同键异内容 409。重复运行同一批次不得重复入库。</w:t>
      </w:r>
    </w:p>
    <w:p w14:paraId="61585146">
      <w:pPr>
        <w:pStyle w:val="5"/>
      </w:pPr>
      <w:r>
        <w:t>1.3 可验证样例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9AF2CE4">
        <w:trPr>
          <w:jc w:val="center"/>
        </w:trPr>
        <w:tc>
          <w:tcPr>
            <w:tcW w:w="3135" w:type="dxa"/>
            <w:shd w:val="clear" w:color="auto" w:fill="EAF1F8"/>
          </w:tcPr>
          <w:p w14:paraId="5042C094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样例</w:t>
            </w:r>
          </w:p>
        </w:tc>
        <w:tc>
          <w:tcPr>
            <w:tcW w:w="3135" w:type="dxa"/>
            <w:shd w:val="clear" w:color="auto" w:fill="EAF1F8"/>
          </w:tcPr>
          <w:p w14:paraId="513BA3D9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预期结果</w:t>
            </w:r>
          </w:p>
        </w:tc>
        <w:tc>
          <w:tcPr>
            <w:tcW w:w="3135" w:type="dxa"/>
            <w:shd w:val="clear" w:color="auto" w:fill="EAF1F8"/>
          </w:tcPr>
          <w:p w14:paraId="0D59431D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追溯</w:t>
            </w:r>
          </w:p>
        </w:tc>
      </w:tr>
      <w:tr w14:paraId="5968B71A">
        <w:trPr>
          <w:jc w:val="center"/>
        </w:trPr>
        <w:tc>
          <w:tcPr>
            <w:tcW w:w="3135" w:type="dxa"/>
          </w:tcPr>
          <w:p w14:paraId="0025D81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历史 BibTeX 无 DOI、无年份</w:t>
            </w:r>
          </w:p>
        </w:tc>
        <w:tc>
          <w:tcPr>
            <w:tcW w:w="3135" w:type="dxa"/>
          </w:tcPr>
          <w:p w14:paraId="3153FD4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草稿可留存，DOI/年份标缺失；送审提示年份必填</w:t>
            </w:r>
          </w:p>
        </w:tc>
        <w:tc>
          <w:tcPr>
            <w:tcW w:w="3135" w:type="dxa"/>
          </w:tcPr>
          <w:p w14:paraId="07BF352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FR-03/09，AT-07</w:t>
            </w:r>
          </w:p>
        </w:tc>
      </w:tr>
      <w:tr w14:paraId="4C427741">
        <w:trPr>
          <w:jc w:val="center"/>
        </w:trPr>
        <w:tc>
          <w:tcPr>
            <w:tcW w:w="3135" w:type="dxa"/>
          </w:tcPr>
          <w:p w14:paraId="77F79EA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记录只有来源列表日期 2024</w:t>
            </w:r>
          </w:p>
        </w:tc>
        <w:tc>
          <w:tcPr>
            <w:tcW w:w="3135" w:type="dxa"/>
          </w:tcPr>
          <w:p w14:paraId="504126BC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source_list_date</w:t>
            </w:r>
            <w:r>
              <w:rPr>
                <w:rFonts w:ascii="宋体" w:hAnsi="宋体" w:eastAsia="宋体" w:cs="宋体"/>
                <w:sz w:val="19"/>
              </w:rPr>
              <w:t xml:space="preserve"> 保留；</w:t>
            </w:r>
            <w:r>
              <w:rPr>
                <w:rFonts w:ascii="Consolas" w:hAnsi="Consolas" w:eastAsia="Consolas" w:cs="Consolas"/>
                <w:sz w:val="19"/>
              </w:rPr>
              <w:t>publication_year</w:t>
            </w:r>
            <w:r>
              <w:rPr>
                <w:rFonts w:ascii="宋体" w:hAnsi="宋体" w:eastAsia="宋体" w:cs="宋体"/>
                <w:sz w:val="19"/>
              </w:rPr>
              <w:t xml:space="preserve"> 仍未知，不默填 2024</w:t>
            </w:r>
          </w:p>
        </w:tc>
        <w:tc>
          <w:tcPr>
            <w:tcW w:w="3135" w:type="dxa"/>
          </w:tcPr>
          <w:p w14:paraId="16FE582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DR-04，AT-07</w:t>
            </w:r>
          </w:p>
        </w:tc>
      </w:tr>
      <w:tr w14:paraId="1BFBB03F">
        <w:trPr>
          <w:jc w:val="center"/>
        </w:trPr>
        <w:tc>
          <w:tcPr>
            <w:tcW w:w="3135" w:type="dxa"/>
          </w:tcPr>
          <w:p w14:paraId="535A43B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同一批次确认重试两次</w:t>
            </w:r>
          </w:p>
        </w:tc>
        <w:tc>
          <w:tcPr>
            <w:tcW w:w="3135" w:type="dxa"/>
          </w:tcPr>
          <w:p w14:paraId="5D8F096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记录数不翻倍；返回相同批次结果与逐行处置</w:t>
            </w:r>
          </w:p>
        </w:tc>
        <w:tc>
          <w:tcPr>
            <w:tcW w:w="3135" w:type="dxa"/>
          </w:tcPr>
          <w:p w14:paraId="567FF57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DR-07，AT-08/14</w:t>
            </w:r>
          </w:p>
        </w:tc>
      </w:tr>
      <w:tr w14:paraId="64E5C5DF">
        <w:trPr>
          <w:jc w:val="center"/>
        </w:trPr>
        <w:tc>
          <w:tcPr>
            <w:tcW w:w="3135" w:type="dxa"/>
          </w:tcPr>
          <w:p w14:paraId="0EC839C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编码/类型映射错误</w:t>
            </w:r>
          </w:p>
        </w:tc>
        <w:tc>
          <w:tcPr>
            <w:tcW w:w="3135" w:type="dxa"/>
          </w:tcPr>
          <w:p w14:paraId="7220076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隔离该行并给行号、字段错误；统计失败不写成功</w:t>
            </w:r>
          </w:p>
        </w:tc>
        <w:tc>
          <w:tcPr>
            <w:tcW w:w="3135" w:type="dxa"/>
          </w:tcPr>
          <w:p w14:paraId="6C8DF4C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FR-26，AT-14</w:t>
            </w:r>
          </w:p>
        </w:tc>
      </w:tr>
      <w:tr w14:paraId="08A67AB4">
        <w:trPr>
          <w:jc w:val="center"/>
        </w:trPr>
        <w:tc>
          <w:tcPr>
            <w:tcW w:w="3135" w:type="dxa"/>
          </w:tcPr>
          <w:p w14:paraId="29AFA1E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原始字段与人工已核验字段冲突</w:t>
            </w:r>
          </w:p>
        </w:tc>
        <w:tc>
          <w:tcPr>
            <w:tcW w:w="3135" w:type="dxa"/>
          </w:tcPr>
          <w:p w14:paraId="79F81AF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原值及新来源值并存，生成差异待核，不覆盖已发布字段</w:t>
            </w:r>
          </w:p>
        </w:tc>
        <w:tc>
          <w:tcPr>
            <w:tcW w:w="3135" w:type="dxa"/>
          </w:tcPr>
          <w:p w14:paraId="27D0A4B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FR-26，DR-02，AT-14</w:t>
            </w:r>
          </w:p>
        </w:tc>
      </w:tr>
    </w:tbl>
    <w:p w14:paraId="529E0B5D">
      <w:pPr>
        <w:spacing w:after="40"/>
      </w:pPr>
    </w:p>
    <w:p w14:paraId="645DE190">
      <w:pPr>
        <w:pStyle w:val="4"/>
      </w:pPr>
      <w:r>
        <w:t>2. SPEC-DEDUP-01 成果去重</w:t>
      </w:r>
    </w:p>
    <w:p w14:paraId="0CD41C22">
      <w:pPr>
        <w:spacing w:after="200"/>
        <w:jc w:val="center"/>
      </w:pPr>
      <w:r>
        <w:drawing>
          <wp:inline distT="0" distB="0" distL="114300" distR="114300">
            <wp:extent cx="4319905" cy="5995035"/>
            <wp:effectExtent l="0" t="0" r="23495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9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F7A5">
      <w:r>
        <w:rPr>
          <w:rFonts w:ascii="宋体" w:hAnsi="宋体" w:eastAsia="宋体" w:cs="宋体"/>
          <w:i/>
        </w:rPr>
        <w:t>图 2-1　SPEC-DEDUP-01 成果去重流程（来源：CodeArts Modeling 导出；对应 FR-26，DR-05／07，AT-09／14）</w:t>
      </w:r>
    </w:p>
    <w:p w14:paraId="152A77AD">
      <w:pPr>
        <w:pStyle w:val="5"/>
      </w:pPr>
      <w:r>
        <w:t>2.1 候选生成与决定</w:t>
      </w:r>
    </w:p>
    <w:p w14:paraId="3AD0E54C">
      <w:r>
        <w:rPr>
          <w:rFonts w:ascii="宋体" w:hAnsi="宋体" w:eastAsia="宋体" w:cs="宋体"/>
        </w:rPr>
        <w:t>去重分两层：</w:t>
      </w:r>
      <w:r>
        <w:rPr>
          <w:rFonts w:ascii="宋体" w:hAnsi="宋体" w:eastAsia="宋体" w:cs="宋体"/>
          <w:b/>
        </w:rPr>
        <w:t>确定性阻止直接重复公开</w:t>
      </w:r>
      <w:r>
        <w:rPr>
          <w:rFonts w:ascii="宋体" w:hAnsi="宋体" w:eastAsia="宋体" w:cs="宋体"/>
        </w:rPr>
        <w:t>与</w:t>
      </w:r>
      <w:r>
        <w:rPr>
          <w:rFonts w:ascii="宋体" w:hAnsi="宋体" w:eastAsia="宋体" w:cs="宋体"/>
          <w:b/>
        </w:rPr>
        <w:t>相似候选供人工确认</w:t>
      </w:r>
      <w:r>
        <w:rPr>
          <w:rFonts w:ascii="宋体" w:hAnsi="宋体" w:eastAsia="宋体" w:cs="宋体"/>
        </w:rPr>
        <w:t>。规范化的有效 DOI 相同，是论文类强候选；相同 DOI 不能直接新建第二条公开成果，除非授权处理人记录例外理由和审核版本。不同类型的专利号/软著登记号等只在各自类型及适用范围内比较，不跨类型推断相同成果。题名、作者、年度、机构相似仅生成候选，不触发自动合并；DOI 为空或冲突时不编造唯一性。</w:t>
      </w:r>
    </w:p>
    <w:p w14:paraId="70583A56">
      <w:r>
        <w:rPr>
          <w:rFonts w:ascii="宋体" w:hAnsi="宋体" w:eastAsia="宋体" w:cs="宋体"/>
        </w:rPr>
        <w:t xml:space="preserve">人工确认合并时指定保留的 </w:t>
      </w:r>
      <w:r>
        <w:rPr>
          <w:rFonts w:ascii="Consolas" w:hAnsi="Consolas" w:eastAsia="Consolas" w:cs="Consolas"/>
          <w:sz w:val="19"/>
        </w:rPr>
        <w:t>achievement_id</w:t>
      </w:r>
      <w:r>
        <w:rPr>
          <w:rFonts w:ascii="宋体" w:hAnsi="宋体" w:eastAsia="宋体" w:cs="宋体"/>
        </w:rPr>
        <w:t>，在事务内迁移并核对来源记录、署名顺序、附件、修订及审计。已发布记录的公开字段不因新来源自动覆盖；生成新版本待审。确认“不重复”也留证据，后续同样来源批次可跳过重复提示。撤销错误合并须通过审计记录与源记录重建关联，不删原始证据。</w:t>
      </w:r>
    </w:p>
    <w:p w14:paraId="56AF3E1E">
      <w:pPr>
        <w:spacing w:after="160"/>
        <w:ind w:left="340"/>
      </w:pPr>
      <w:r>
        <w:rPr>
          <w:rFonts w:ascii="Consolas" w:hAnsi="Consolas" w:eastAsia="Consolas" w:cs="Consolas"/>
          <w:sz w:val="18"/>
        </w:rPr>
        <w:t>for each normalized row: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candidates = lookup(valid_normalized_doi, type_identifier, source_record_key)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candidates += search_similar_title_author_year(row)  # 仅候选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if same_source_record_key_and_same_content_digest: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    mark SKIPPED_IDEMPOTENT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elif same_valid_doi_has_published_record: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    mark REVIEW_REQUIRED; block_direct_publication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elif candidates: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    mark REVIEW_REQUIRED; present evidence and differences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else:</w:t>
      </w:r>
      <w:r>
        <w:rPr>
          <w:rFonts w:ascii="Consolas" w:hAnsi="Consolas" w:eastAsia="Consolas" w:cs="Consolas"/>
          <w:sz w:val="18"/>
        </w:rPr>
        <w:br w:type="textWrapping"/>
      </w:r>
      <w:r>
        <w:rPr>
          <w:rFonts w:ascii="Consolas" w:hAnsi="Consolas" w:eastAsia="Consolas" w:cs="Consolas"/>
          <w:sz w:val="18"/>
        </w:rPr>
        <w:t xml:space="preserve">        create draft with new achievement_id</w:t>
      </w:r>
    </w:p>
    <w:p w14:paraId="76BD7F5C">
      <w:r>
        <w:rPr>
          <w:rFonts w:ascii="宋体" w:hAnsi="宋体" w:eastAsia="宋体" w:cs="宋体"/>
        </w:rPr>
        <w:t>候选检索算法可后续优化，但不得在本 SPEC 中把未验证的相似阈值写成已确认业务规则。候选分数只供排序；自动合并开关初版关闭。</w:t>
      </w:r>
    </w:p>
    <w:p w14:paraId="023D230E">
      <w:pPr>
        <w:pStyle w:val="5"/>
      </w:pPr>
      <w:r>
        <w:t>2.2 验收样例</w:t>
      </w:r>
    </w:p>
    <w:p w14:paraId="7FD9A33F">
      <w:pPr>
        <w:pStyle w:val="16"/>
      </w:pPr>
      <w:r>
        <w:rPr>
          <w:rFonts w:ascii="宋体" w:hAnsi="宋体" w:eastAsia="宋体" w:cs="宋体"/>
        </w:rPr>
        <w:t>相同有效 DOI 的两条记录：第二条进入待核验，不能直接生成第二条公开成果；经授权例外可保留独立记录并留理由（DR-05，AT-09）。</w:t>
      </w:r>
    </w:p>
    <w:p w14:paraId="36383488">
      <w:pPr>
        <w:pStyle w:val="16"/>
      </w:pPr>
      <w:r>
        <w:rPr>
          <w:rFonts w:ascii="宋体" w:hAnsi="宋体" w:eastAsia="宋体" w:cs="宋体"/>
        </w:rPr>
        <w:t>题名近似但 DOI 不同，或同名作者、同年不同成果：只提示候选，不能自动合并（AT-09）。</w:t>
      </w:r>
    </w:p>
    <w:p w14:paraId="7BC5A904">
      <w:pPr>
        <w:pStyle w:val="16"/>
      </w:pPr>
      <w:r>
        <w:rPr>
          <w:rFonts w:ascii="宋体" w:hAnsi="宋体" w:eastAsia="宋体" w:cs="宋体"/>
        </w:rPr>
        <w:t>已发布成果收到更新：保留原公开版，差异进入待审版本；两次处理同源同摘要只记一次（FR-26，DR-06/07，AT-14）。</w:t>
      </w:r>
    </w:p>
    <w:p w14:paraId="7CF036BA">
      <w:pPr>
        <w:pStyle w:val="4"/>
      </w:pPr>
      <w:r>
        <w:t>3. SPEC-DISAMB-01 学者消歧</w:t>
      </w:r>
    </w:p>
    <w:p w14:paraId="11054657">
      <w:pPr>
        <w:spacing w:after="200"/>
        <w:jc w:val="center"/>
      </w:pPr>
      <w:r>
        <w:drawing>
          <wp:inline distT="0" distB="0" distL="114300" distR="114300">
            <wp:extent cx="5759450" cy="4834890"/>
            <wp:effectExtent l="0" t="0" r="635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487">
      <w:r>
        <w:rPr>
          <w:rFonts w:ascii="宋体" w:hAnsi="宋体" w:eastAsia="宋体" w:cs="宋体"/>
          <w:i/>
        </w:rPr>
        <w:t>图 3-1　SPEC-DISAMB-01 学者消歧流程（来源：CodeArts Modeling 导出；对应 FR-05／08／18／27，DR-01／05／09，AT-09／15）</w:t>
      </w:r>
    </w:p>
    <w:p w14:paraId="21C03D71">
      <w:r>
        <w:rPr>
          <w:rFonts w:ascii="宋体" w:hAnsi="宋体" w:eastAsia="宋体" w:cs="宋体"/>
        </w:rPr>
        <w:t>平台把姓名字符串、</w:t>
      </w:r>
      <w:r>
        <w:rPr>
          <w:rFonts w:ascii="Consolas" w:hAnsi="Consolas" w:eastAsia="Consolas" w:cs="Consolas"/>
          <w:sz w:val="19"/>
        </w:rPr>
        <w:t>Person</w:t>
      </w:r>
      <w:r>
        <w:rPr>
          <w:rFonts w:ascii="宋体" w:hAnsi="宋体" w:eastAsia="宋体" w:cs="宋体"/>
        </w:rPr>
        <w:t xml:space="preserve"> 与登录 </w:t>
      </w:r>
      <w:r>
        <w:rPr>
          <w:rFonts w:ascii="Consolas" w:hAnsi="Consolas" w:eastAsia="Consolas" w:cs="Consolas"/>
          <w:sz w:val="19"/>
        </w:rPr>
        <w:t>User</w:t>
      </w:r>
      <w:r>
        <w:rPr>
          <w:rFonts w:ascii="宋体" w:hAnsi="宋体" w:eastAsia="宋体" w:cs="宋体"/>
        </w:rPr>
        <w:t xml:space="preserve"> 分开。导入作者先存有序 </w:t>
      </w:r>
      <w:r>
        <w:rPr>
          <w:rFonts w:ascii="Consolas" w:hAnsi="Consolas" w:eastAsia="Consolas" w:cs="Consolas"/>
          <w:sz w:val="19"/>
        </w:rPr>
        <w:t>AchievementAuthor</w:t>
      </w:r>
      <w:r>
        <w:rPr>
          <w:rFonts w:ascii="宋体" w:hAnsi="宋体" w:eastAsia="宋体" w:cs="宋体"/>
        </w:rPr>
        <w:t xml:space="preserve"> 和来源姓名；已有 Person 匹配仅为候选。姓名和单位相同、校内工号未核验，均不能自动合并两人；外部作者没有账号仍可作为 Person。经验证的 ORCID 或已审核的账号与 Person 关联可作为人工核验依据，不能仅凭录入的 ORCID 字符串授予权限。</w:t>
      </w:r>
    </w:p>
    <w:p w14:paraId="71D8EF09">
      <w:r>
        <w:rPr>
          <w:rFonts w:ascii="宋体" w:hAnsi="宋体" w:eastAsia="宋体" w:cs="宋体"/>
        </w:rPr>
        <w:t xml:space="preserve">消歧界面至少展示候选人的署名来源、机构、已核验标识和相互冲突字段；授权处理人可确认同人、不同人或暂缓。任何决定保存操作者、证据、时间和版本。本人认领申请 </w:t>
      </w:r>
      <w:r>
        <w:rPr>
          <w:rFonts w:ascii="Consolas" w:hAnsi="Consolas" w:eastAsia="Consolas" w:cs="Consolas"/>
          <w:sz w:val="19"/>
        </w:rPr>
        <w:t>ClaimApplication</w:t>
      </w:r>
      <w:r>
        <w:rPr>
          <w:rFonts w:ascii="宋体" w:hAnsi="宋体" w:eastAsia="宋体" w:cs="宋体"/>
        </w:rPr>
        <w:t xml:space="preserve"> 审核前不建立具有管理权的 User—Person 关联；多人合著分别认领各自 Person，不获得整条成果独占权。争议导致的错误关联按 FR-27 标 </w:t>
      </w:r>
      <w:r>
        <w:rPr>
          <w:rFonts w:ascii="Consolas" w:hAnsi="Consolas" w:eastAsia="Consolas" w:cs="Consolas"/>
          <w:sz w:val="19"/>
        </w:rPr>
        <w:t>disputed</w:t>
      </w:r>
      <w:r>
        <w:rPr>
          <w:rFonts w:ascii="宋体" w:hAnsi="宋体" w:eastAsia="宋体" w:cs="宋体"/>
        </w:rPr>
        <w:t xml:space="preserve"> 并撤销权限，保留历史与审核依据。</w:t>
      </w:r>
    </w:p>
    <w:p w14:paraId="406AE37D">
      <w:r>
        <w:rPr>
          <w:rFonts w:ascii="宋体" w:hAnsi="宋体" w:eastAsia="宋体" w:cs="宋体"/>
          <w:b/>
        </w:rPr>
        <w:t>验收</w:t>
      </w:r>
      <w:r>
        <w:rPr>
          <w:rFonts w:ascii="宋体" w:hAnsi="宋体" w:eastAsia="宋体" w:cs="宋体"/>
        </w:rPr>
        <w:t>：同名同机构两人不会自动合并；未注册共同作者仍可登记；伪同名申请审核前无门户管理权；批准、拒绝、补证与争议撤销的权限和审计符合 AT-09/15。</w:t>
      </w:r>
    </w:p>
    <w:p w14:paraId="161C54AF">
      <w:pPr>
        <w:pStyle w:val="4"/>
      </w:pPr>
      <w:r>
        <w:t>4. SPEC-SEARCH-01 检索排序与分面</w:t>
      </w:r>
    </w:p>
    <w:p w14:paraId="6E962005">
      <w:pPr>
        <w:spacing w:after="200"/>
        <w:jc w:val="center"/>
      </w:pPr>
      <w:r>
        <w:drawing>
          <wp:inline distT="0" distB="0" distL="114300" distR="114300">
            <wp:extent cx="4319905" cy="5257800"/>
            <wp:effectExtent l="0" t="0" r="2349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8917">
      <w:r>
        <w:rPr>
          <w:rFonts w:ascii="宋体" w:hAnsi="宋体" w:eastAsia="宋体" w:cs="宋体"/>
          <w:i/>
        </w:rPr>
        <w:t>图 4-1　SPEC-SEARCH-01 检索排序与分面流程（来源：CodeArts Modeling 导出；对应 FR-13—18／24，IF-04／05，NFR-01／03，AT-01／03）</w:t>
      </w:r>
    </w:p>
    <w:p w14:paraId="0E215D25">
      <w:pPr>
        <w:pStyle w:val="5"/>
      </w:pPr>
      <w:r>
        <w:t>4.1 查询管线</w:t>
      </w:r>
    </w:p>
    <w:p w14:paraId="4855A318">
      <w:pPr>
        <w:pStyle w:val="14"/>
      </w:pPr>
      <w:r>
        <w:rPr>
          <w:rFonts w:ascii="宋体" w:hAnsi="宋体" w:eastAsia="宋体" w:cs="宋体"/>
        </w:rPr>
        <w:t xml:space="preserve">解析请求参数：关键词、类型、领域、机构、作者、年份口径、排序、页码和页大小。默认页大小 20，最大 100；不同维度 AND、同维度多选 OR，默认年度为 </w:t>
      </w:r>
      <w:r>
        <w:rPr>
          <w:rFonts w:ascii="Consolas" w:hAnsi="Consolas" w:eastAsia="Consolas" w:cs="Consolas"/>
          <w:sz w:val="19"/>
        </w:rPr>
        <w:t>publication_year</w:t>
      </w:r>
      <w:r>
        <w:rPr>
          <w:rFonts w:ascii="宋体" w:hAnsi="宋体" w:eastAsia="宋体" w:cs="宋体"/>
        </w:rPr>
        <w:t>。切换来源分组年度须指定来源；未知年份单列。</w:t>
      </w:r>
    </w:p>
    <w:p w14:paraId="5AE9C684">
      <w:pPr>
        <w:pStyle w:val="14"/>
      </w:pPr>
      <w:r>
        <w:rPr>
          <w:rFonts w:ascii="宋体" w:hAnsi="宋体" w:eastAsia="宋体" w:cs="宋体"/>
        </w:rPr>
        <w:t>在服务端以当前身份、所属机构、成果状态、可见范围与获准版本建立</w:t>
      </w:r>
      <w:r>
        <w:rPr>
          <w:rFonts w:ascii="宋体" w:hAnsi="宋体" w:eastAsia="宋体" w:cs="宋体"/>
          <w:b/>
        </w:rPr>
        <w:t>可读集合</w:t>
      </w:r>
      <w:r>
        <w:rPr>
          <w:rFonts w:ascii="宋体" w:hAnsi="宋体" w:eastAsia="宋体" w:cs="宋体"/>
        </w:rPr>
        <w:t>，然后执行全文/元数据匹配。匿名只读已发布 public；members 限同机构认证成员；private/草稿依 B1 权限矩阵。后台角色不能越权读不属于职责的对象。</w:t>
      </w:r>
    </w:p>
    <w:p w14:paraId="30584F58">
      <w:pPr>
        <w:pStyle w:val="14"/>
      </w:pPr>
      <w:r>
        <w:rPr>
          <w:rFonts w:ascii="宋体" w:hAnsi="宋体" w:eastAsia="宋体" w:cs="宋体"/>
        </w:rPr>
        <w:t>在可读集合上计算结果总数与分面计数，再排序、稳定分页。索引中的旧公开副本必须再经当前权限与版本校验，收窄/下架即时撤销；缓存键包含身份/机构/权限版本及筛选口径。</w:t>
      </w:r>
    </w:p>
    <w:p w14:paraId="234B2753">
      <w:pPr>
        <w:pStyle w:val="14"/>
      </w:pPr>
      <w:r>
        <w:rPr>
          <w:rFonts w:ascii="宋体" w:hAnsi="宋体" w:eastAsia="宋体" w:cs="宋体"/>
        </w:rPr>
        <w:t>有效 DOI 精确匹配的可读成果置前。其他结果按相关度降序；同分按成果年度降序、</w:t>
      </w:r>
      <w:r>
        <w:rPr>
          <w:rFonts w:ascii="Consolas" w:hAnsi="Consolas" w:eastAsia="Consolas" w:cs="Consolas"/>
          <w:sz w:val="19"/>
        </w:rPr>
        <w:t>achievement_id</w:t>
      </w:r>
      <w:r>
        <w:rPr>
          <w:rFonts w:ascii="宋体" w:hAnsi="宋体" w:eastAsia="宋体" w:cs="宋体"/>
        </w:rPr>
        <w:t xml:space="preserve"> 稳定排序。若用户选年度排序，未知年置于有年项后；选已知被引排序时，unknown 不是 0，置于已知项后。引用数只显示有来源的可用值。</w:t>
      </w:r>
    </w:p>
    <w:p w14:paraId="17F98283">
      <w:pPr>
        <w:pStyle w:val="14"/>
      </w:pPr>
      <w:r>
        <w:rPr>
          <w:rFonts w:ascii="宋体" w:hAnsi="宋体" w:eastAsia="宋体" w:cs="宋体"/>
        </w:rPr>
        <w:t>详情、附件、引用、导出和门户入口再次服务端鉴权，不因结果页出现过该 ID 就放行。对象不可见与不存在统一 404。查询错误、明确零结果、权限不足与尚未采集分别呈现，不把服务故障伪装成 0 条。</w:t>
      </w:r>
    </w:p>
    <w:p w14:paraId="720C6741">
      <w:pPr>
        <w:pStyle w:val="5"/>
      </w:pPr>
      <w:r>
        <w:t>4.2 排序与安全验收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009338A">
        <w:trPr>
          <w:jc w:val="center"/>
        </w:trPr>
        <w:tc>
          <w:tcPr>
            <w:tcW w:w="3135" w:type="dxa"/>
            <w:shd w:val="clear" w:color="auto" w:fill="EAF1F8"/>
          </w:tcPr>
          <w:p w14:paraId="1DF3D62E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输入条件</w:t>
            </w:r>
          </w:p>
        </w:tc>
        <w:tc>
          <w:tcPr>
            <w:tcW w:w="3135" w:type="dxa"/>
            <w:shd w:val="clear" w:color="auto" w:fill="EAF1F8"/>
          </w:tcPr>
          <w:p w14:paraId="2AA97AC0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期望</w:t>
            </w:r>
          </w:p>
        </w:tc>
        <w:tc>
          <w:tcPr>
            <w:tcW w:w="3135" w:type="dxa"/>
            <w:shd w:val="clear" w:color="auto" w:fill="EAF1F8"/>
          </w:tcPr>
          <w:p w14:paraId="0449D27A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追溯</w:t>
            </w:r>
          </w:p>
        </w:tc>
      </w:tr>
      <w:tr w14:paraId="07D43979">
        <w:trPr>
          <w:jc w:val="center"/>
        </w:trPr>
        <w:tc>
          <w:tcPr>
            <w:tcW w:w="3135" w:type="dxa"/>
          </w:tcPr>
          <w:p w14:paraId="2736F7A8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type=[paper,patent]</w:t>
            </w:r>
            <w:r>
              <w:rPr>
                <w:rFonts w:ascii="宋体" w:hAnsi="宋体" w:eastAsia="宋体" w:cs="宋体"/>
                <w:sz w:val="19"/>
              </w:rPr>
              <w:t xml:space="preserve"> 且 </w:t>
            </w:r>
            <w:r>
              <w:rPr>
                <w:rFonts w:ascii="Consolas" w:hAnsi="Consolas" w:eastAsia="Consolas" w:cs="Consolas"/>
                <w:sz w:val="19"/>
              </w:rPr>
              <w:t>year=[2023,2024]</w:t>
            </w:r>
          </w:p>
        </w:tc>
        <w:tc>
          <w:tcPr>
            <w:tcW w:w="3135" w:type="dxa"/>
          </w:tcPr>
          <w:p w14:paraId="23DFE52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类型内部 OR、年份内部 OR，两维 AND</w:t>
            </w:r>
          </w:p>
        </w:tc>
        <w:tc>
          <w:tcPr>
            <w:tcW w:w="3135" w:type="dxa"/>
          </w:tcPr>
          <w:p w14:paraId="597020C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FR-14，AT-03</w:t>
            </w:r>
          </w:p>
        </w:tc>
      </w:tr>
      <w:tr w14:paraId="354FB0FD">
        <w:trPr>
          <w:jc w:val="center"/>
        </w:trPr>
        <w:tc>
          <w:tcPr>
            <w:tcW w:w="3135" w:type="dxa"/>
          </w:tcPr>
          <w:p w14:paraId="534D01F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public 与 private 各一条命中同一词</w:t>
            </w:r>
          </w:p>
        </w:tc>
        <w:tc>
          <w:tcPr>
            <w:tcW w:w="3135" w:type="dxa"/>
          </w:tcPr>
          <w:p w14:paraId="39E3956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访客总数及分面均只计 public；猜 private ID 返回 404</w:t>
            </w:r>
          </w:p>
        </w:tc>
        <w:tc>
          <w:tcPr>
            <w:tcW w:w="3135" w:type="dxa"/>
          </w:tcPr>
          <w:p w14:paraId="3A3A6A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FR-17，AT-03</w:t>
            </w:r>
          </w:p>
        </w:tc>
      </w:tr>
      <w:tr w14:paraId="55093AF0">
        <w:trPr>
          <w:jc w:val="center"/>
        </w:trPr>
        <w:tc>
          <w:tcPr>
            <w:tcW w:w="3135" w:type="dxa"/>
          </w:tcPr>
          <w:p w14:paraId="1223195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相关度同分且年份同值</w:t>
            </w:r>
          </w:p>
        </w:tc>
        <w:tc>
          <w:tcPr>
            <w:tcW w:w="3135" w:type="dxa"/>
          </w:tcPr>
          <w:p w14:paraId="1EFFC1F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按 ID 稳定顺序，多次翻页无随机跳动</w:t>
            </w:r>
          </w:p>
        </w:tc>
        <w:tc>
          <w:tcPr>
            <w:tcW w:w="3135" w:type="dxa"/>
          </w:tcPr>
          <w:p w14:paraId="2EB34DA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FR-15</w:t>
            </w:r>
          </w:p>
        </w:tc>
      </w:tr>
      <w:tr w14:paraId="5383BA5F">
        <w:trPr>
          <w:jc w:val="center"/>
        </w:trPr>
        <w:tc>
          <w:tcPr>
            <w:tcW w:w="3135" w:type="dxa"/>
          </w:tcPr>
          <w:p w14:paraId="67355D3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被引数为 unknown 与已知 0</w:t>
            </w:r>
          </w:p>
        </w:tc>
        <w:tc>
          <w:tcPr>
            <w:tcW w:w="3135" w:type="dxa"/>
          </w:tcPr>
          <w:p w14:paraId="54B7849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unknown 在已知值后，不把未知解释成 0</w:t>
            </w:r>
          </w:p>
        </w:tc>
        <w:tc>
          <w:tcPr>
            <w:tcW w:w="3135" w:type="dxa"/>
          </w:tcPr>
          <w:p w14:paraId="4C4277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FR-15</w:t>
            </w:r>
          </w:p>
        </w:tc>
      </w:tr>
      <w:tr w14:paraId="5E74CFC1">
        <w:trPr>
          <w:jc w:val="center"/>
        </w:trPr>
        <w:tc>
          <w:tcPr>
            <w:tcW w:w="3135" w:type="dxa"/>
          </w:tcPr>
          <w:p w14:paraId="15905CD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已发布条目下架但索引未刷新</w:t>
            </w:r>
          </w:p>
        </w:tc>
        <w:tc>
          <w:tcPr>
            <w:tcW w:w="3135" w:type="dxa"/>
          </w:tcPr>
          <w:p w14:paraId="47CF810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搜索、详情、附件和导出均即时不可读</w:t>
            </w:r>
          </w:p>
        </w:tc>
        <w:tc>
          <w:tcPr>
            <w:tcW w:w="3135" w:type="dxa"/>
          </w:tcPr>
          <w:p w14:paraId="4FB5B96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FR-17，DR-06，AT-10</w:t>
            </w:r>
          </w:p>
        </w:tc>
      </w:tr>
      <w:tr w14:paraId="78C5F873">
        <w:trPr>
          <w:jc w:val="center"/>
        </w:trPr>
        <w:tc>
          <w:tcPr>
            <w:tcW w:w="3135" w:type="dxa"/>
          </w:tcPr>
          <w:p w14:paraId="3DD836C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10000 条元数据、规定混合负载</w:t>
            </w:r>
          </w:p>
        </w:tc>
        <w:tc>
          <w:tcPr>
            <w:tcW w:w="3135" w:type="dxa"/>
          </w:tcPr>
          <w:p w14:paraId="75CB3D5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按 NFR-01 的 4vCPU/8GB、20 并发、预热/时长和样本量测 P95 ≤2秒、5xx &lt;1%</w:t>
            </w:r>
          </w:p>
        </w:tc>
        <w:tc>
          <w:tcPr>
            <w:tcW w:w="3135" w:type="dxa"/>
          </w:tcPr>
          <w:p w14:paraId="3F74C32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AT-01；仅为目标，未实测</w:t>
            </w:r>
          </w:p>
        </w:tc>
      </w:tr>
    </w:tbl>
    <w:p w14:paraId="288705E5">
      <w:pPr>
        <w:spacing w:after="40"/>
      </w:pPr>
    </w:p>
    <w:p w14:paraId="2771880B">
      <w:pPr>
        <w:pStyle w:val="4"/>
      </w:pPr>
      <w:r>
        <w:t>5. SPEC-NET-01 专家合作网络与统计口径</w:t>
      </w:r>
    </w:p>
    <w:p w14:paraId="490B52C6">
      <w:r>
        <w:rPr>
          <w:rFonts w:ascii="宋体" w:hAnsi="宋体" w:eastAsia="宋体" w:cs="宋体"/>
        </w:rPr>
        <w:t xml:space="preserve">UC06 的统计先过滤调用者可读的已发布成果，再按 </w:t>
      </w:r>
      <w:r>
        <w:rPr>
          <w:rFonts w:ascii="Consolas" w:hAnsi="Consolas" w:eastAsia="Consolas" w:cs="Consolas"/>
          <w:sz w:val="19"/>
        </w:rPr>
        <w:t>achievement_id</w:t>
      </w:r>
      <w:r>
        <w:rPr>
          <w:rFonts w:ascii="宋体" w:hAnsi="宋体" w:eastAsia="宋体" w:cs="宋体"/>
        </w:rPr>
        <w:t xml:space="preserve"> 去重。多机构合作成果在各相关机构可各计 1 条，平台总数不能直接累加机构数。年份默认为成果年度，未知单列；每个统计图表显示范围、时间、来源、去重方式和生成时间。无可用数据标“无数据”，不称全网科研评价（FR-28，AT-16）。</w:t>
      </w:r>
    </w:p>
    <w:p w14:paraId="0CFD547E">
      <w:r>
        <w:rPr>
          <w:rFonts w:ascii="宋体" w:hAnsi="宋体" w:eastAsia="宋体" w:cs="宋体"/>
        </w:rPr>
        <w:t>合作网络使用同一可读集合，节点为可公开 Person，边为两人共同署名成果，边权是去重后的共同成果数。领域、机构、年度筛选同时作用于边和最短路径；节点/边点击只返回当前用户有权查看的支撑成果。最短路径在过滤后的无向图上按边数最少计算，若多条同长路径可按稳定 Person ID 顺序选一条并标注算法口径；无连接返回“当前条件下无路径”，计算失败返回错误，不推断现实中从未合作。Person 同名未核验不得自动并点，引用关系不能当作合作边（DR-09）。</w:t>
      </w:r>
    </w:p>
    <w:p w14:paraId="638275A1">
      <w:r>
        <w:rPr>
          <w:rFonts w:ascii="宋体" w:hAnsi="宋体" w:eastAsia="宋体" w:cs="宋体"/>
          <w:b/>
        </w:rPr>
        <w:t>AT-17 最小图样例</w:t>
      </w:r>
      <w:r>
        <w:rPr>
          <w:rFonts w:ascii="宋体" w:hAnsi="宋体" w:eastAsia="宋体" w:cs="宋体"/>
        </w:rPr>
        <w:t>：A—B 与 B—C 各有 1 条可读共著成果，A—C 无边，查询 A 到 C 返回 A—B—C，节点/边均可打开证据；按年度过滤掉 B—C 后明确无路径。若 B—C 支撑成果改为 private，访客看到的边权、路径、统计及导出均不含它。路径计算时间上限和图规模上限需在实现设计阶段配置并纳入压测，不在缺少基准数据时虚构已达成数值。</w:t>
      </w:r>
    </w:p>
    <w:p w14:paraId="6357FB1F">
      <w:pPr>
        <w:pStyle w:val="4"/>
      </w:pPr>
      <w:r>
        <w:t>6. 评审与交付检查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3F84BD9">
        <w:trPr>
          <w:jc w:val="center"/>
        </w:trPr>
        <w:tc>
          <w:tcPr>
            <w:tcW w:w="4703" w:type="dxa"/>
            <w:shd w:val="clear" w:color="auto" w:fill="EAF1F8"/>
          </w:tcPr>
          <w:p w14:paraId="1F9774F0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检查项</w:t>
            </w:r>
          </w:p>
        </w:tc>
        <w:tc>
          <w:tcPr>
            <w:tcW w:w="4703" w:type="dxa"/>
            <w:shd w:val="clear" w:color="auto" w:fill="EAF1F8"/>
          </w:tcPr>
          <w:p w14:paraId="37676792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当前状态</w:t>
            </w:r>
          </w:p>
        </w:tc>
      </w:tr>
      <w:tr w14:paraId="1921F8DE">
        <w:trPr>
          <w:jc w:val="center"/>
        </w:trPr>
        <w:tc>
          <w:tcPr>
            <w:tcW w:w="4703" w:type="dxa"/>
          </w:tcPr>
          <w:p w14:paraId="75BBA5A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清洗、去重、消歧、检索排序、统计网络的规则均能追溯到 B1 FR/DR/IF/AT</w:t>
            </w:r>
          </w:p>
        </w:tc>
        <w:tc>
          <w:tcPr>
            <w:tcW w:w="4703" w:type="dxa"/>
          </w:tcPr>
          <w:p w14:paraId="132F9E0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文档已覆盖，待 A1/B1 人工复核</w:t>
            </w:r>
          </w:p>
        </w:tc>
      </w:tr>
      <w:tr w14:paraId="5A8C5654">
        <w:trPr>
          <w:jc w:val="center"/>
        </w:trPr>
        <w:tc>
          <w:tcPr>
            <w:tcW w:w="4703" w:type="dxa"/>
          </w:tcPr>
          <w:p w14:paraId="7801B4A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七类类型、权限、版本、未知字段和三次重试口径与 B1 一致</w:t>
            </w:r>
          </w:p>
        </w:tc>
        <w:tc>
          <w:tcPr>
            <w:tcW w:w="4703" w:type="dxa"/>
          </w:tcPr>
          <w:p w14:paraId="686DBAB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文本已核对；实现和测试未开始</w:t>
            </w:r>
          </w:p>
        </w:tc>
      </w:tr>
      <w:tr w14:paraId="405B2AD1">
        <w:trPr>
          <w:jc w:val="center"/>
        </w:trPr>
        <w:tc>
          <w:tcPr>
            <w:tcW w:w="4703" w:type="dxa"/>
          </w:tcPr>
          <w:p w14:paraId="26FBE1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AT-07/09/14/16/17 样例可作为后续测试输入</w:t>
            </w:r>
          </w:p>
        </w:tc>
        <w:tc>
          <w:tcPr>
            <w:tcW w:w="4703" w:type="dxa"/>
          </w:tcPr>
          <w:p w14:paraId="5E703DF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已给出判据；尚无执行结果</w:t>
            </w:r>
          </w:p>
        </w:tc>
      </w:tr>
      <w:tr w14:paraId="42EBC87E">
        <w:trPr>
          <w:jc w:val="center"/>
        </w:trPr>
        <w:tc>
          <w:tcPr>
            <w:tcW w:w="4703" w:type="dxa"/>
          </w:tcPr>
          <w:p w14:paraId="223767B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与 B 组故事、SRS、A 组六份用例规约的终版签署</w:t>
            </w:r>
          </w:p>
        </w:tc>
        <w:tc>
          <w:tcPr>
            <w:tcW w:w="4703" w:type="dxa"/>
          </w:tcPr>
          <w:p w14:paraId="2DF0443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待组内合稿评审</w:t>
            </w:r>
          </w:p>
        </w:tc>
      </w:tr>
    </w:tbl>
    <w:p w14:paraId="31A3E0FD">
      <w:pPr>
        <w:spacing w:after="40"/>
      </w:pPr>
    </w:p>
    <w:p w14:paraId="7976F5C5">
      <w:pPr>
        <w:pStyle w:val="5"/>
      </w:pPr>
      <w:r>
        <w:t>6.1 规范评审记录</w:t>
      </w:r>
    </w:p>
    <w:p w14:paraId="769B9538">
      <w:r>
        <w:rPr>
          <w:rFonts w:ascii="宋体" w:hAnsi="宋体" w:eastAsia="宋体" w:cs="宋体"/>
        </w:rPr>
        <w:t>任务书要求「规范评审记录存档」。以下逐条记录评审结论与遗留项；</w:t>
      </w:r>
      <w:r>
        <w:rPr>
          <w:rFonts w:ascii="宋体" w:hAnsi="宋体" w:eastAsia="宋体" w:cs="宋体"/>
          <w:b/>
        </w:rPr>
        <w:t>未发生的评审不预先填写</w:t>
      </w:r>
      <w:r>
        <w:rPr>
          <w:rFonts w:ascii="宋体" w:hAnsi="宋体" w:eastAsia="宋体" w:cs="宋体"/>
        </w:rPr>
        <w:t>。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3C467D8">
        <w:trPr>
          <w:jc w:val="center"/>
        </w:trPr>
        <w:tc>
          <w:tcPr>
            <w:tcW w:w="1568" w:type="dxa"/>
            <w:shd w:val="clear" w:color="auto" w:fill="EAF1F8"/>
          </w:tcPr>
          <w:p w14:paraId="64F7220C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序号</w:t>
            </w:r>
          </w:p>
        </w:tc>
        <w:tc>
          <w:tcPr>
            <w:tcW w:w="1568" w:type="dxa"/>
            <w:shd w:val="clear" w:color="auto" w:fill="EAF1F8"/>
          </w:tcPr>
          <w:p w14:paraId="4ED3A7BA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评审对象</w:t>
            </w:r>
          </w:p>
        </w:tc>
        <w:tc>
          <w:tcPr>
            <w:tcW w:w="1568" w:type="dxa"/>
            <w:shd w:val="clear" w:color="auto" w:fill="EAF1F8"/>
          </w:tcPr>
          <w:p w14:paraId="558610C5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评审人</w:t>
            </w:r>
          </w:p>
        </w:tc>
        <w:tc>
          <w:tcPr>
            <w:tcW w:w="1568" w:type="dxa"/>
            <w:shd w:val="clear" w:color="auto" w:fill="EAF1F8"/>
          </w:tcPr>
          <w:p w14:paraId="413F0368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评审日期</w:t>
            </w:r>
          </w:p>
        </w:tc>
        <w:tc>
          <w:tcPr>
            <w:tcW w:w="1568" w:type="dxa"/>
            <w:shd w:val="clear" w:color="auto" w:fill="EAF1F8"/>
          </w:tcPr>
          <w:p w14:paraId="0DB11CA3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结论</w:t>
            </w:r>
          </w:p>
        </w:tc>
        <w:tc>
          <w:tcPr>
            <w:tcW w:w="1568" w:type="dxa"/>
            <w:shd w:val="clear" w:color="auto" w:fill="EAF1F8"/>
          </w:tcPr>
          <w:p w14:paraId="51A1F79D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遗留项与处理</w:t>
            </w:r>
          </w:p>
        </w:tc>
      </w:tr>
      <w:tr w14:paraId="5284F8C2">
        <w:trPr>
          <w:jc w:val="center"/>
        </w:trPr>
        <w:tc>
          <w:tcPr>
            <w:tcW w:w="1568" w:type="dxa"/>
          </w:tcPr>
          <w:p w14:paraId="5640DF9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R-01</w:t>
            </w:r>
          </w:p>
        </w:tc>
        <w:tc>
          <w:tcPr>
            <w:tcW w:w="1568" w:type="dxa"/>
          </w:tcPr>
          <w:p w14:paraId="66708B5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SPEC 全篇（清洗／去重／消歧／检索排序／合作网络）与 B1 SRS 条款一致性</w:t>
            </w:r>
          </w:p>
        </w:tc>
        <w:tc>
          <w:tcPr>
            <w:tcW w:w="1568" w:type="dxa"/>
          </w:tcPr>
          <w:p w14:paraId="13824DB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7A929D4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6411611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待评</w:t>
            </w:r>
          </w:p>
        </w:tc>
        <w:tc>
          <w:tcPr>
            <w:tcW w:w="1568" w:type="dxa"/>
          </w:tcPr>
          <w:p w14:paraId="64FAC54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</w:tr>
      <w:tr w14:paraId="132A15B3">
        <w:trPr>
          <w:jc w:val="center"/>
        </w:trPr>
        <w:tc>
          <w:tcPr>
            <w:tcW w:w="1568" w:type="dxa"/>
          </w:tcPr>
          <w:p w14:paraId="6DE1E20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R-02</w:t>
            </w:r>
          </w:p>
        </w:tc>
        <w:tc>
          <w:tcPr>
            <w:tcW w:w="1568" w:type="dxa"/>
          </w:tcPr>
          <w:p w14:paraId="24EF1AB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统一阈值与约束汇总（§0.1）逐项与上游条款核对</w:t>
            </w:r>
          </w:p>
        </w:tc>
        <w:tc>
          <w:tcPr>
            <w:tcW w:w="1568" w:type="dxa"/>
          </w:tcPr>
          <w:p w14:paraId="681AE79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30863F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0229640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待评</w:t>
            </w:r>
          </w:p>
        </w:tc>
        <w:tc>
          <w:tcPr>
            <w:tcW w:w="1568" w:type="dxa"/>
          </w:tcPr>
          <w:p w14:paraId="1416C13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</w:tr>
      <w:tr w14:paraId="09286455">
        <w:trPr>
          <w:jc w:val="center"/>
        </w:trPr>
        <w:tc>
          <w:tcPr>
            <w:tcW w:w="1568" w:type="dxa"/>
          </w:tcPr>
          <w:p w14:paraId="3298C46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R-03</w:t>
            </w:r>
          </w:p>
        </w:tc>
        <w:tc>
          <w:tcPr>
            <w:tcW w:w="1568" w:type="dxa"/>
          </w:tcPr>
          <w:p w14:paraId="2ABB71F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规范—代码对应关系表（§7）与实际实现范围核对</w:t>
            </w:r>
          </w:p>
        </w:tc>
        <w:tc>
          <w:tcPr>
            <w:tcW w:w="1568" w:type="dxa"/>
          </w:tcPr>
          <w:p w14:paraId="1D3C595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5AAA667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1FB3477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待评</w:t>
            </w:r>
          </w:p>
        </w:tc>
        <w:tc>
          <w:tcPr>
            <w:tcW w:w="1568" w:type="dxa"/>
          </w:tcPr>
          <w:p w14:paraId="6AF7238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实现未开始，评审在功能实现阶段进行</w:t>
            </w:r>
          </w:p>
        </w:tc>
      </w:tr>
      <w:tr w14:paraId="3E13F5E4">
        <w:trPr>
          <w:jc w:val="center"/>
        </w:trPr>
        <w:tc>
          <w:tcPr>
            <w:tcW w:w="1568" w:type="dxa"/>
          </w:tcPr>
          <w:p w14:paraId="46364E0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R-04</w:t>
            </w:r>
          </w:p>
        </w:tc>
        <w:tc>
          <w:tcPr>
            <w:tcW w:w="1568" w:type="dxa"/>
          </w:tcPr>
          <w:p w14:paraId="2655443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接口契约与错误码（§8）与构件设计的 OpenAPI 对齐</w:t>
            </w:r>
          </w:p>
        </w:tc>
        <w:tc>
          <w:tcPr>
            <w:tcW w:w="1568" w:type="dxa"/>
          </w:tcPr>
          <w:p w14:paraId="6A2C53D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71ADCDF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待填</w:t>
            </w:r>
          </w:p>
        </w:tc>
        <w:tc>
          <w:tcPr>
            <w:tcW w:w="1568" w:type="dxa"/>
          </w:tcPr>
          <w:p w14:paraId="30AFDAC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待评</w:t>
            </w:r>
          </w:p>
        </w:tc>
        <w:tc>
          <w:tcPr>
            <w:tcW w:w="1568" w:type="dxa"/>
          </w:tcPr>
          <w:p w14:paraId="397FB8F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</w:tr>
    </w:tbl>
    <w:p w14:paraId="381D9843">
      <w:pPr>
        <w:spacing w:after="40"/>
      </w:pPr>
    </w:p>
    <w:p w14:paraId="122B0124">
      <w:r>
        <w:rPr>
          <w:rFonts w:ascii="宋体" w:hAnsi="宋体" w:eastAsia="宋体" w:cs="宋体"/>
          <w:b/>
        </w:rPr>
        <w:t>AI 使用记录</w:t>
      </w:r>
      <w:r>
        <w:rPr>
          <w:rFonts w:ascii="宋体" w:hAnsi="宋体" w:eastAsia="宋体" w:cs="宋体"/>
        </w:rPr>
        <w:t>：本合稿由 Codex 根据本仓库 B1 SRS 与 A 组 UC 规约起草、整理和交叉核对；图像由本地脚本生成。所有阈值与业务规则以 B1 已写明条款为准；待人工评审的内容已标出。参考目录中的独立设计文档仅作结构参考，不作为本组已完成访谈、实现或测试的证据。</w:t>
      </w:r>
    </w:p>
    <w:p w14:paraId="691FFBC7">
      <w:pPr>
        <w:pStyle w:val="4"/>
      </w:pPr>
      <w:r>
        <w:t>7. 规范—代码对应关系表（交付证据）</w:t>
      </w:r>
    </w:p>
    <w:p w14:paraId="23E4CCBE">
      <w:r>
        <w:rPr>
          <w:rFonts w:ascii="宋体" w:hAnsi="宋体" w:eastAsia="宋体" w:cs="宋体"/>
        </w:rPr>
        <w:t>任务书把「规范—代码对应关系表」列为 SPEC 的交付证据。本表把每条规范条款映射到</w:t>
      </w:r>
      <w:r>
        <w:rPr>
          <w:rFonts w:ascii="宋体" w:hAnsi="宋体" w:eastAsia="宋体" w:cs="宋体"/>
          <w:b/>
        </w:rPr>
        <w:t>计划实现单元</w:t>
      </w:r>
      <w:r>
        <w:rPr>
          <w:rFonts w:ascii="宋体" w:hAnsi="宋体" w:eastAsia="宋体" w:cs="宋体"/>
        </w:rPr>
        <w:t>与验收入口，落实「规范先行、代码履约」：代码未提交时不填实现状态为已实现，也不把未写入规范的逻辑当作已受规范约束。</w:t>
      </w:r>
    </w:p>
    <w:p w14:paraId="27C25CB7">
      <w:r>
        <w:rPr>
          <w:rFonts w:ascii="宋体" w:hAnsi="宋体" w:eastAsia="宋体" w:cs="宋体"/>
          <w:b/>
        </w:rPr>
        <w:t>说明</w:t>
      </w:r>
      <w:r>
        <w:rPr>
          <w:rFonts w:ascii="宋体" w:hAnsi="宋体" w:eastAsia="宋体" w:cs="宋体"/>
        </w:rPr>
        <w:t>：模块与函数名为</w:t>
      </w:r>
      <w:r>
        <w:rPr>
          <w:rFonts w:ascii="宋体" w:hAnsi="宋体" w:eastAsia="宋体" w:cs="宋体"/>
          <w:b/>
        </w:rPr>
        <w:t>建议命名</w:t>
      </w:r>
      <w:r>
        <w:rPr>
          <w:rFonts w:ascii="宋体" w:hAnsi="宋体" w:eastAsia="宋体" w:cs="宋体"/>
        </w:rPr>
        <w:t>，最终以构件设计阶段的分层与命名约定为准；「实现状态」在本阶段一律为「待实现」。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2397"/>
        <w:gridCol w:w="1810"/>
        <w:gridCol w:w="1803"/>
        <w:gridCol w:w="1796"/>
      </w:tblGrid>
      <w:tr w14:paraId="5793CC7B">
        <w:trPr>
          <w:jc w:val="center"/>
        </w:trPr>
        <w:tc>
          <w:tcPr>
            <w:tcW w:w="1881" w:type="dxa"/>
            <w:shd w:val="clear" w:color="auto" w:fill="EAF1F8"/>
          </w:tcPr>
          <w:p w14:paraId="0F6640BA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规范条款</w:t>
            </w:r>
          </w:p>
        </w:tc>
        <w:tc>
          <w:tcPr>
            <w:tcW w:w="1881" w:type="dxa"/>
            <w:shd w:val="clear" w:color="auto" w:fill="EAF1F8"/>
          </w:tcPr>
          <w:p w14:paraId="5E382166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计划实现单元（建议命名）</w:t>
            </w:r>
          </w:p>
        </w:tc>
        <w:tc>
          <w:tcPr>
            <w:tcW w:w="1881" w:type="dxa"/>
            <w:shd w:val="clear" w:color="auto" w:fill="EAF1F8"/>
          </w:tcPr>
          <w:p w14:paraId="15144252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上游需求</w:t>
            </w:r>
          </w:p>
        </w:tc>
        <w:tc>
          <w:tcPr>
            <w:tcW w:w="1881" w:type="dxa"/>
            <w:shd w:val="clear" w:color="auto" w:fill="EAF1F8"/>
          </w:tcPr>
          <w:p w14:paraId="557AA71F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验收用例</w:t>
            </w:r>
          </w:p>
        </w:tc>
        <w:tc>
          <w:tcPr>
            <w:tcW w:w="1881" w:type="dxa"/>
            <w:shd w:val="clear" w:color="auto" w:fill="EAF1F8"/>
          </w:tcPr>
          <w:p w14:paraId="407A0A5C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实现状态</w:t>
            </w:r>
          </w:p>
        </w:tc>
      </w:tr>
      <w:tr w14:paraId="70B15D3E">
        <w:trPr>
          <w:jc w:val="center"/>
        </w:trPr>
        <w:tc>
          <w:tcPr>
            <w:tcW w:w="1881" w:type="dxa"/>
          </w:tcPr>
          <w:p w14:paraId="0AF15A5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§1.2.1 结构校验</w:t>
            </w:r>
          </w:p>
        </w:tc>
        <w:tc>
          <w:tcPr>
            <w:tcW w:w="1881" w:type="dxa"/>
          </w:tcPr>
          <w:p w14:paraId="3D89E51A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etl.validate_structure</w:t>
            </w:r>
          </w:p>
        </w:tc>
        <w:tc>
          <w:tcPr>
            <w:tcW w:w="1881" w:type="dxa"/>
          </w:tcPr>
          <w:p w14:paraId="00732BC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FR-03／26、IF-03／07</w:t>
            </w:r>
          </w:p>
        </w:tc>
        <w:tc>
          <w:tcPr>
            <w:tcW w:w="1881" w:type="dxa"/>
          </w:tcPr>
          <w:p w14:paraId="7C16B75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AT-07／14</w:t>
            </w:r>
          </w:p>
        </w:tc>
        <w:tc>
          <w:tcPr>
            <w:tcW w:w="1881" w:type="dxa"/>
          </w:tcPr>
          <w:p w14:paraId="4D80076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510C99E8">
        <w:trPr>
          <w:jc w:val="center"/>
        </w:trPr>
        <w:tc>
          <w:tcPr>
            <w:tcW w:w="1881" w:type="dxa"/>
          </w:tcPr>
          <w:p w14:paraId="790B907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§1.2.2 类型映射</w:t>
            </w:r>
          </w:p>
        </w:tc>
        <w:tc>
          <w:tcPr>
            <w:tcW w:w="1881" w:type="dxa"/>
          </w:tcPr>
          <w:p w14:paraId="16CB9E1A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etl.map_type</w:t>
            </w:r>
          </w:p>
        </w:tc>
        <w:tc>
          <w:tcPr>
            <w:tcW w:w="1881" w:type="dxa"/>
          </w:tcPr>
          <w:p w14:paraId="66461AC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FR-02、DR-01</w:t>
            </w:r>
          </w:p>
        </w:tc>
        <w:tc>
          <w:tcPr>
            <w:tcW w:w="1881" w:type="dxa"/>
          </w:tcPr>
          <w:p w14:paraId="0784782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AT-14</w:t>
            </w:r>
          </w:p>
        </w:tc>
        <w:tc>
          <w:tcPr>
            <w:tcW w:w="1881" w:type="dxa"/>
          </w:tcPr>
          <w:p w14:paraId="6B80A1C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67770DF0">
        <w:trPr>
          <w:jc w:val="center"/>
        </w:trPr>
        <w:tc>
          <w:tcPr>
            <w:tcW w:w="1881" w:type="dxa"/>
          </w:tcPr>
          <w:p w14:paraId="7A323C0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§1.2.3 文本规范</w:t>
            </w:r>
          </w:p>
        </w:tc>
        <w:tc>
          <w:tcPr>
            <w:tcW w:w="1881" w:type="dxa"/>
          </w:tcPr>
          <w:p w14:paraId="650D6A64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etl.normalize_text</w:t>
            </w:r>
          </w:p>
        </w:tc>
        <w:tc>
          <w:tcPr>
            <w:tcW w:w="1881" w:type="dxa"/>
          </w:tcPr>
          <w:p w14:paraId="138F5FE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FR-03</w:t>
            </w:r>
          </w:p>
        </w:tc>
        <w:tc>
          <w:tcPr>
            <w:tcW w:w="1881" w:type="dxa"/>
          </w:tcPr>
          <w:p w14:paraId="0C5E4BE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</w:t>
            </w:r>
          </w:p>
        </w:tc>
        <w:tc>
          <w:tcPr>
            <w:tcW w:w="1881" w:type="dxa"/>
          </w:tcPr>
          <w:p w14:paraId="1250243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3547B20B">
        <w:trPr>
          <w:jc w:val="center"/>
        </w:trPr>
        <w:tc>
          <w:tcPr>
            <w:tcW w:w="1881" w:type="dxa"/>
          </w:tcPr>
          <w:p w14:paraId="397F3E0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§1.2.4 日期与年度</w:t>
            </w:r>
          </w:p>
        </w:tc>
        <w:tc>
          <w:tcPr>
            <w:tcW w:w="1881" w:type="dxa"/>
          </w:tcPr>
          <w:p w14:paraId="32A5B6A6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etl.normalize_date</w:t>
            </w:r>
          </w:p>
        </w:tc>
        <w:tc>
          <w:tcPr>
            <w:tcW w:w="1881" w:type="dxa"/>
          </w:tcPr>
          <w:p w14:paraId="1047D8B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DR-04</w:t>
            </w:r>
          </w:p>
        </w:tc>
        <w:tc>
          <w:tcPr>
            <w:tcW w:w="1881" w:type="dxa"/>
          </w:tcPr>
          <w:p w14:paraId="0E00BD6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</w:t>
            </w:r>
          </w:p>
        </w:tc>
        <w:tc>
          <w:tcPr>
            <w:tcW w:w="1881" w:type="dxa"/>
          </w:tcPr>
          <w:p w14:paraId="7C393C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0E2F1342">
        <w:trPr>
          <w:jc w:val="center"/>
        </w:trPr>
        <w:tc>
          <w:tcPr>
            <w:tcW w:w="1881" w:type="dxa"/>
          </w:tcPr>
          <w:p w14:paraId="4610908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§1.2.5 标识与来源</w:t>
            </w:r>
          </w:p>
        </w:tc>
        <w:tc>
          <w:tcPr>
            <w:tcW w:w="1881" w:type="dxa"/>
          </w:tcPr>
          <w:p w14:paraId="604022E6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etl.normalize_identifier</w:t>
            </w:r>
          </w:p>
        </w:tc>
        <w:tc>
          <w:tcPr>
            <w:tcW w:w="1881" w:type="dxa"/>
          </w:tcPr>
          <w:p w14:paraId="609288F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DR-02／03</w:t>
            </w:r>
          </w:p>
        </w:tc>
        <w:tc>
          <w:tcPr>
            <w:tcW w:w="1881" w:type="dxa"/>
          </w:tcPr>
          <w:p w14:paraId="4704BCB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</w:t>
            </w:r>
          </w:p>
        </w:tc>
        <w:tc>
          <w:tcPr>
            <w:tcW w:w="1881" w:type="dxa"/>
          </w:tcPr>
          <w:p w14:paraId="5E61E9D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2541F4B0">
        <w:trPr>
          <w:jc w:val="center"/>
        </w:trPr>
        <w:tc>
          <w:tcPr>
            <w:tcW w:w="1881" w:type="dxa"/>
          </w:tcPr>
          <w:p w14:paraId="773C68C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§1.2.6 字段状态</w:t>
            </w:r>
          </w:p>
        </w:tc>
        <w:tc>
          <w:tcPr>
            <w:tcW w:w="1881" w:type="dxa"/>
          </w:tcPr>
          <w:p w14:paraId="659178AB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etl.mark_field_status</w:t>
            </w:r>
          </w:p>
        </w:tc>
        <w:tc>
          <w:tcPr>
            <w:tcW w:w="1881" w:type="dxa"/>
          </w:tcPr>
          <w:p w14:paraId="25B1BC4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DR-03／09</w:t>
            </w:r>
          </w:p>
        </w:tc>
        <w:tc>
          <w:tcPr>
            <w:tcW w:w="1881" w:type="dxa"/>
          </w:tcPr>
          <w:p w14:paraId="3812D8F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AT-07</w:t>
            </w:r>
          </w:p>
        </w:tc>
        <w:tc>
          <w:tcPr>
            <w:tcW w:w="1881" w:type="dxa"/>
          </w:tcPr>
          <w:p w14:paraId="27437D0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308207C3">
        <w:trPr>
          <w:jc w:val="center"/>
        </w:trPr>
        <w:tc>
          <w:tcPr>
            <w:tcW w:w="1881" w:type="dxa"/>
          </w:tcPr>
          <w:p w14:paraId="7761C44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§1.2.7 送去重与消歧</w:t>
            </w:r>
          </w:p>
        </w:tc>
        <w:tc>
          <w:tcPr>
            <w:tcW w:w="1881" w:type="dxa"/>
          </w:tcPr>
          <w:p w14:paraId="45911773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pipeline.dispatch</w:t>
            </w:r>
          </w:p>
        </w:tc>
        <w:tc>
          <w:tcPr>
            <w:tcW w:w="1881" w:type="dxa"/>
          </w:tcPr>
          <w:p w14:paraId="6350138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FR-26</w:t>
            </w:r>
          </w:p>
        </w:tc>
        <w:tc>
          <w:tcPr>
            <w:tcW w:w="1881" w:type="dxa"/>
          </w:tcPr>
          <w:p w14:paraId="5E309E6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AT-14</w:t>
            </w:r>
          </w:p>
        </w:tc>
        <w:tc>
          <w:tcPr>
            <w:tcW w:w="1881" w:type="dxa"/>
          </w:tcPr>
          <w:p w14:paraId="17937D9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7FDD9E10">
        <w:trPr>
          <w:jc w:val="center"/>
        </w:trPr>
        <w:tc>
          <w:tcPr>
            <w:tcW w:w="1881" w:type="dxa"/>
          </w:tcPr>
          <w:p w14:paraId="3EE97FF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§1.2.8 预览与幂等确认</w:t>
            </w:r>
          </w:p>
        </w:tc>
        <w:tc>
          <w:tcPr>
            <w:tcW w:w="1881" w:type="dxa"/>
          </w:tcPr>
          <w:p w14:paraId="1361FFFE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etl.preview_commit</w:t>
            </w:r>
          </w:p>
        </w:tc>
        <w:tc>
          <w:tcPr>
            <w:tcW w:w="1881" w:type="dxa"/>
          </w:tcPr>
          <w:p w14:paraId="51287C7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DR-07、NFR-02</w:t>
            </w:r>
          </w:p>
        </w:tc>
        <w:tc>
          <w:tcPr>
            <w:tcW w:w="1881" w:type="dxa"/>
          </w:tcPr>
          <w:p w14:paraId="0EB3803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AT-08／14</w:t>
            </w:r>
          </w:p>
        </w:tc>
        <w:tc>
          <w:tcPr>
            <w:tcW w:w="1881" w:type="dxa"/>
          </w:tcPr>
          <w:p w14:paraId="37888B9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3B730250">
        <w:trPr>
          <w:jc w:val="center"/>
        </w:trPr>
        <w:tc>
          <w:tcPr>
            <w:tcW w:w="1881" w:type="dxa"/>
          </w:tcPr>
          <w:p w14:paraId="531681E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§2.1 去重候选生成与决定</w:t>
            </w:r>
          </w:p>
        </w:tc>
        <w:tc>
          <w:tcPr>
            <w:tcW w:w="1881" w:type="dxa"/>
          </w:tcPr>
          <w:p w14:paraId="2AC301A5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dedup.find_candidates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dedup.decide</w:t>
            </w:r>
          </w:p>
        </w:tc>
        <w:tc>
          <w:tcPr>
            <w:tcW w:w="1881" w:type="dxa"/>
          </w:tcPr>
          <w:p w14:paraId="0D473CB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FR-26、DR-05／07</w:t>
            </w:r>
          </w:p>
        </w:tc>
        <w:tc>
          <w:tcPr>
            <w:tcW w:w="1881" w:type="dxa"/>
          </w:tcPr>
          <w:p w14:paraId="01EB470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AT-09／14</w:t>
            </w:r>
          </w:p>
        </w:tc>
        <w:tc>
          <w:tcPr>
            <w:tcW w:w="1881" w:type="dxa"/>
          </w:tcPr>
          <w:p w14:paraId="41A24F5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42A60E08">
        <w:trPr>
          <w:jc w:val="center"/>
        </w:trPr>
        <w:tc>
          <w:tcPr>
            <w:tcW w:w="1881" w:type="dxa"/>
          </w:tcPr>
          <w:p w14:paraId="51D8C61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§3 消歧匹配与人工核验</w:t>
            </w:r>
          </w:p>
        </w:tc>
        <w:tc>
          <w:tcPr>
            <w:tcW w:w="1881" w:type="dxa"/>
          </w:tcPr>
          <w:p w14:paraId="579CCDDA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disamb.match_person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disamb.review</w:t>
            </w:r>
          </w:p>
        </w:tc>
        <w:tc>
          <w:tcPr>
            <w:tcW w:w="1881" w:type="dxa"/>
          </w:tcPr>
          <w:p w14:paraId="27C1965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FR-05／08／18／27、DR-09</w:t>
            </w:r>
          </w:p>
        </w:tc>
        <w:tc>
          <w:tcPr>
            <w:tcW w:w="1881" w:type="dxa"/>
          </w:tcPr>
          <w:p w14:paraId="0B6AEA7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AT-09／15</w:t>
            </w:r>
          </w:p>
        </w:tc>
        <w:tc>
          <w:tcPr>
            <w:tcW w:w="1881" w:type="dxa"/>
          </w:tcPr>
          <w:p w14:paraId="532BF75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4275664B">
        <w:trPr>
          <w:jc w:val="center"/>
        </w:trPr>
        <w:tc>
          <w:tcPr>
            <w:tcW w:w="1881" w:type="dxa"/>
          </w:tcPr>
          <w:p w14:paraId="112B73C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§4.1.1 检索参数解析</w:t>
            </w:r>
          </w:p>
        </w:tc>
        <w:tc>
          <w:tcPr>
            <w:tcW w:w="1881" w:type="dxa"/>
          </w:tcPr>
          <w:p w14:paraId="42230840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search.parse_query</w:t>
            </w:r>
          </w:p>
        </w:tc>
        <w:tc>
          <w:tcPr>
            <w:tcW w:w="1881" w:type="dxa"/>
          </w:tcPr>
          <w:p w14:paraId="0459351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FR-13／14／15、IF-04</w:t>
            </w:r>
          </w:p>
        </w:tc>
        <w:tc>
          <w:tcPr>
            <w:tcW w:w="1881" w:type="dxa"/>
          </w:tcPr>
          <w:p w14:paraId="252BB34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AT-03</w:t>
            </w:r>
          </w:p>
        </w:tc>
        <w:tc>
          <w:tcPr>
            <w:tcW w:w="1881" w:type="dxa"/>
          </w:tcPr>
          <w:p w14:paraId="32A4774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273B2FA8">
        <w:trPr>
          <w:jc w:val="center"/>
        </w:trPr>
        <w:tc>
          <w:tcPr>
            <w:tcW w:w="1881" w:type="dxa"/>
          </w:tcPr>
          <w:p w14:paraId="47E0F3E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§4.1.2 可读集合（先鉴权）</w:t>
            </w:r>
          </w:p>
        </w:tc>
        <w:tc>
          <w:tcPr>
            <w:tcW w:w="1881" w:type="dxa"/>
          </w:tcPr>
          <w:p w14:paraId="1E8124B5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search.visible_set</w:t>
            </w:r>
          </w:p>
        </w:tc>
        <w:tc>
          <w:tcPr>
            <w:tcW w:w="1881" w:type="dxa"/>
          </w:tcPr>
          <w:p w14:paraId="7C88ED3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FR-17、NFR-03</w:t>
            </w:r>
          </w:p>
        </w:tc>
        <w:tc>
          <w:tcPr>
            <w:tcW w:w="1881" w:type="dxa"/>
          </w:tcPr>
          <w:p w14:paraId="07832B7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AT-03／10</w:t>
            </w:r>
          </w:p>
        </w:tc>
        <w:tc>
          <w:tcPr>
            <w:tcW w:w="1881" w:type="dxa"/>
          </w:tcPr>
          <w:p w14:paraId="092C5E1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08798507">
        <w:trPr>
          <w:jc w:val="center"/>
        </w:trPr>
        <w:tc>
          <w:tcPr>
            <w:tcW w:w="1881" w:type="dxa"/>
          </w:tcPr>
          <w:p w14:paraId="4EFD479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§4.1.3 总数与分面</w:t>
            </w:r>
          </w:p>
        </w:tc>
        <w:tc>
          <w:tcPr>
            <w:tcW w:w="1881" w:type="dxa"/>
          </w:tcPr>
          <w:p w14:paraId="0EFB3D42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search.facets</w:t>
            </w:r>
          </w:p>
        </w:tc>
        <w:tc>
          <w:tcPr>
            <w:tcW w:w="1881" w:type="dxa"/>
          </w:tcPr>
          <w:p w14:paraId="2073301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FR-14</w:t>
            </w:r>
          </w:p>
        </w:tc>
        <w:tc>
          <w:tcPr>
            <w:tcW w:w="1881" w:type="dxa"/>
          </w:tcPr>
          <w:p w14:paraId="041F79C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AT-03</w:t>
            </w:r>
          </w:p>
        </w:tc>
        <w:tc>
          <w:tcPr>
            <w:tcW w:w="1881" w:type="dxa"/>
          </w:tcPr>
          <w:p w14:paraId="1B5B728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568A2197">
        <w:trPr>
          <w:jc w:val="center"/>
        </w:trPr>
        <w:tc>
          <w:tcPr>
            <w:tcW w:w="1881" w:type="dxa"/>
          </w:tcPr>
          <w:p w14:paraId="103134A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§4.1.4 排序与稳定分页</w:t>
            </w:r>
          </w:p>
        </w:tc>
        <w:tc>
          <w:tcPr>
            <w:tcW w:w="1881" w:type="dxa"/>
          </w:tcPr>
          <w:p w14:paraId="0414DE7F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search.rank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search.paginate</w:t>
            </w:r>
          </w:p>
        </w:tc>
        <w:tc>
          <w:tcPr>
            <w:tcW w:w="1881" w:type="dxa"/>
          </w:tcPr>
          <w:p w14:paraId="1B5F0C7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FR-15</w:t>
            </w:r>
          </w:p>
        </w:tc>
        <w:tc>
          <w:tcPr>
            <w:tcW w:w="1881" w:type="dxa"/>
          </w:tcPr>
          <w:p w14:paraId="1C7F103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AT-03</w:t>
            </w:r>
          </w:p>
        </w:tc>
        <w:tc>
          <w:tcPr>
            <w:tcW w:w="1881" w:type="dxa"/>
          </w:tcPr>
          <w:p w14:paraId="0FC85DF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3D1B7A5C">
        <w:trPr>
          <w:jc w:val="center"/>
        </w:trPr>
        <w:tc>
          <w:tcPr>
            <w:tcW w:w="1881" w:type="dxa"/>
          </w:tcPr>
          <w:p w14:paraId="72F70E6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§4.1.5 详情／附件／导出再鉴权</w:t>
            </w:r>
          </w:p>
        </w:tc>
        <w:tc>
          <w:tcPr>
            <w:tcW w:w="1881" w:type="dxa"/>
          </w:tcPr>
          <w:p w14:paraId="29F317C6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search.authorize_object</w:t>
            </w:r>
          </w:p>
        </w:tc>
        <w:tc>
          <w:tcPr>
            <w:tcW w:w="1881" w:type="dxa"/>
          </w:tcPr>
          <w:p w14:paraId="7FDC1DF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FR-17／20、IF-10</w:t>
            </w:r>
          </w:p>
        </w:tc>
        <w:tc>
          <w:tcPr>
            <w:tcW w:w="1881" w:type="dxa"/>
          </w:tcPr>
          <w:p w14:paraId="0089974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AT-10／11</w:t>
            </w:r>
          </w:p>
        </w:tc>
        <w:tc>
          <w:tcPr>
            <w:tcW w:w="1881" w:type="dxa"/>
          </w:tcPr>
          <w:p w14:paraId="6696430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7AB8621B">
        <w:trPr>
          <w:jc w:val="center"/>
        </w:trPr>
        <w:tc>
          <w:tcPr>
            <w:tcW w:w="1881" w:type="dxa"/>
          </w:tcPr>
          <w:p w14:paraId="0206802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§5 统计口径与去重计数</w:t>
            </w:r>
          </w:p>
        </w:tc>
        <w:tc>
          <w:tcPr>
            <w:tcW w:w="1881" w:type="dxa"/>
          </w:tcPr>
          <w:p w14:paraId="2AE73787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stats.aggregate</w:t>
            </w:r>
          </w:p>
        </w:tc>
        <w:tc>
          <w:tcPr>
            <w:tcW w:w="1881" w:type="dxa"/>
          </w:tcPr>
          <w:p w14:paraId="00DE13F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FR-28、DR-04</w:t>
            </w:r>
          </w:p>
        </w:tc>
        <w:tc>
          <w:tcPr>
            <w:tcW w:w="1881" w:type="dxa"/>
          </w:tcPr>
          <w:p w14:paraId="6152844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AT-16</w:t>
            </w:r>
          </w:p>
        </w:tc>
        <w:tc>
          <w:tcPr>
            <w:tcW w:w="1881" w:type="dxa"/>
          </w:tcPr>
          <w:p w14:paraId="350CE66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73651BF3">
        <w:trPr>
          <w:jc w:val="center"/>
        </w:trPr>
        <w:tc>
          <w:tcPr>
            <w:tcW w:w="1881" w:type="dxa"/>
          </w:tcPr>
          <w:p w14:paraId="2F90B78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§5 合作网络与最短路径</w:t>
            </w:r>
          </w:p>
        </w:tc>
        <w:tc>
          <w:tcPr>
            <w:tcW w:w="1881" w:type="dxa"/>
          </w:tcPr>
          <w:p w14:paraId="18BC3E1F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net.build_graph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net.shortest_path</w:t>
            </w:r>
          </w:p>
        </w:tc>
        <w:tc>
          <w:tcPr>
            <w:tcW w:w="1881" w:type="dxa"/>
          </w:tcPr>
          <w:p w14:paraId="5D8737A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FR-29</w:t>
            </w:r>
          </w:p>
        </w:tc>
        <w:tc>
          <w:tcPr>
            <w:tcW w:w="1881" w:type="dxa"/>
          </w:tcPr>
          <w:p w14:paraId="292AC76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AT-17</w:t>
            </w:r>
          </w:p>
        </w:tc>
        <w:tc>
          <w:tcPr>
            <w:tcW w:w="1881" w:type="dxa"/>
          </w:tcPr>
          <w:p w14:paraId="4F4AF68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  <w:tr w14:paraId="7F47958F">
        <w:trPr>
          <w:jc w:val="center"/>
        </w:trPr>
        <w:tc>
          <w:tcPr>
            <w:tcW w:w="1881" w:type="dxa"/>
          </w:tcPr>
          <w:p w14:paraId="3AD9C8D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§0.1 统一阈值与约束</w:t>
            </w:r>
          </w:p>
        </w:tc>
        <w:tc>
          <w:tcPr>
            <w:tcW w:w="1881" w:type="dxa"/>
          </w:tcPr>
          <w:p w14:paraId="4654533A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配置项 </w:t>
            </w:r>
            <w:r>
              <w:rPr>
                <w:rFonts w:ascii="Consolas" w:hAnsi="Consolas" w:eastAsia="Consolas" w:cs="Consolas"/>
                <w:sz w:val="19"/>
              </w:rPr>
              <w:t>config/thresholds</w:t>
            </w:r>
          </w:p>
        </w:tc>
        <w:tc>
          <w:tcPr>
            <w:tcW w:w="1881" w:type="dxa"/>
          </w:tcPr>
          <w:p w14:paraId="2A702AE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  <w:tc>
          <w:tcPr>
            <w:tcW w:w="1881" w:type="dxa"/>
          </w:tcPr>
          <w:p w14:paraId="40A8452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各项 AT</w:t>
            </w:r>
          </w:p>
        </w:tc>
        <w:tc>
          <w:tcPr>
            <w:tcW w:w="1881" w:type="dxa"/>
          </w:tcPr>
          <w:p w14:paraId="4CD0F9D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待实现</w:t>
            </w:r>
          </w:p>
        </w:tc>
      </w:tr>
    </w:tbl>
    <w:p w14:paraId="0F74716E">
      <w:pPr>
        <w:spacing w:after="40"/>
      </w:pPr>
    </w:p>
    <w:p w14:paraId="70193B18">
      <w:r>
        <w:rPr>
          <w:rFonts w:ascii="宋体" w:hAnsi="宋体" w:eastAsia="宋体" w:cs="宋体"/>
          <w:b/>
        </w:rPr>
        <w:t>维护规则</w:t>
      </w:r>
      <w:r>
        <w:rPr>
          <w:rFonts w:ascii="宋体" w:hAnsi="宋体" w:eastAsia="宋体" w:cs="宋体"/>
        </w:rPr>
        <w:t>：新增或修改规范条款时同步更新本表；实现提交时应把「实现状态」改为已实现并附代码路径与测试路径，未附路径的不得改状态。</w:t>
      </w:r>
    </w:p>
    <w:p w14:paraId="4B6FE86E">
      <w:pPr>
        <w:pStyle w:val="4"/>
      </w:pPr>
      <w:r>
        <w:t>8. 接口契约与错误码（建议稿）</w:t>
      </w:r>
    </w:p>
    <w:p w14:paraId="56DEE654">
      <w:r>
        <w:rPr>
          <w:rFonts w:ascii="宋体" w:hAnsi="宋体" w:eastAsia="宋体" w:cs="宋体"/>
        </w:rPr>
        <w:t>任务书把 OpenAPI 文档归入</w:t>
      </w:r>
      <w:r>
        <w:rPr>
          <w:rFonts w:ascii="宋体" w:hAnsi="宋体" w:eastAsia="宋体" w:cs="宋体"/>
          <w:b/>
        </w:rPr>
        <w:t>构件设计</w:t>
      </w:r>
      <w:r>
        <w:rPr>
          <w:rFonts w:ascii="宋体" w:hAnsi="宋体" w:eastAsia="宋体" w:cs="宋体"/>
        </w:rPr>
        <w:t>阶段，因此本节只给出各核心模块</w:t>
      </w:r>
      <w:r>
        <w:rPr>
          <w:rFonts w:ascii="宋体" w:hAnsi="宋体" w:eastAsia="宋体" w:cs="宋体"/>
          <w:b/>
        </w:rPr>
        <w:t>对外的输入、输出、错误与幂等约定</w:t>
      </w:r>
      <w:r>
        <w:rPr>
          <w:rFonts w:ascii="宋体" w:hAnsi="宋体" w:eastAsia="宋体" w:cs="宋体"/>
        </w:rPr>
        <w:t>，作为规范的「怎么做（接口）」部分；正式接口定义以构件设计的 OpenAPI 为准，两者不一致时以 OpenAPI 为准并回改本节。</w:t>
      </w:r>
    </w:p>
    <w:p w14:paraId="5B768B01">
      <w:pPr>
        <w:spacing w:before="40" w:after="200"/>
        <w:jc w:val="center"/>
      </w:pPr>
      <w:r>
        <w:rPr>
          <w:rFonts w:ascii="宋体" w:hAnsi="宋体" w:eastAsia="宋体" w:cs="宋体"/>
          <w:color w:val="445566"/>
          <w:sz w:val="18"/>
        </w:rPr>
        <w:t>表 8-1　核心模块接口契约（建议稿）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5"/>
        <w:gridCol w:w="1830"/>
        <w:gridCol w:w="1537"/>
        <w:gridCol w:w="1383"/>
        <w:gridCol w:w="1297"/>
      </w:tblGrid>
      <w:tr w14:paraId="1CB7E829">
        <w:trPr>
          <w:jc w:val="center"/>
        </w:trPr>
        <w:tc>
          <w:tcPr>
            <w:tcW w:w="1881" w:type="dxa"/>
            <w:shd w:val="clear" w:color="auto" w:fill="EAF1F8"/>
          </w:tcPr>
          <w:p w14:paraId="171D3EBE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接口</w:t>
            </w:r>
          </w:p>
        </w:tc>
        <w:tc>
          <w:tcPr>
            <w:tcW w:w="1881" w:type="dxa"/>
            <w:shd w:val="clear" w:color="auto" w:fill="EAF1F8"/>
          </w:tcPr>
          <w:p w14:paraId="3A473120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输入</w:t>
            </w:r>
          </w:p>
        </w:tc>
        <w:tc>
          <w:tcPr>
            <w:tcW w:w="1881" w:type="dxa"/>
            <w:shd w:val="clear" w:color="auto" w:fill="EAF1F8"/>
          </w:tcPr>
          <w:p w14:paraId="26E83DDB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输出</w:t>
            </w:r>
          </w:p>
        </w:tc>
        <w:tc>
          <w:tcPr>
            <w:tcW w:w="1881" w:type="dxa"/>
            <w:shd w:val="clear" w:color="auto" w:fill="EAF1F8"/>
          </w:tcPr>
          <w:p w14:paraId="31E9252C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错误</w:t>
            </w:r>
          </w:p>
        </w:tc>
        <w:tc>
          <w:tcPr>
            <w:tcW w:w="1881" w:type="dxa"/>
            <w:shd w:val="clear" w:color="auto" w:fill="EAF1F8"/>
          </w:tcPr>
          <w:p w14:paraId="6CF37039">
            <w:pPr>
              <w:spacing w:after="40"/>
            </w:pPr>
            <w:r>
              <w:rPr>
                <w:rFonts w:ascii="宋体" w:hAnsi="宋体" w:eastAsia="宋体" w:cs="宋体"/>
                <w:b/>
                <w:sz w:val="19"/>
              </w:rPr>
              <w:t>幂等</w:t>
            </w:r>
          </w:p>
        </w:tc>
      </w:tr>
      <w:tr w14:paraId="5B468A04">
        <w:trPr>
          <w:jc w:val="center"/>
        </w:trPr>
        <w:tc>
          <w:tcPr>
            <w:tcW w:w="1881" w:type="dxa"/>
          </w:tcPr>
          <w:p w14:paraId="36999816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/imports/{batch_id}/commit</w:t>
            </w:r>
          </w:p>
        </w:tc>
        <w:tc>
          <w:tcPr>
            <w:tcW w:w="1881" w:type="dxa"/>
          </w:tcPr>
          <w:p w14:paraId="62A6719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用户、幂等键、文件摘要、批次版本</w:t>
            </w:r>
          </w:p>
        </w:tc>
        <w:tc>
          <w:tcPr>
            <w:tcW w:w="1881" w:type="dxa"/>
          </w:tcPr>
          <w:p w14:paraId="520F1A0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逐行处置结果与新增／更新／跳过／失败计数</w:t>
            </w:r>
          </w:p>
        </w:tc>
        <w:tc>
          <w:tcPr>
            <w:tcW w:w="1881" w:type="dxa"/>
          </w:tcPr>
          <w:p w14:paraId="336C003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409（同键异内容）、422（结构或类型映射失败）</w:t>
            </w:r>
          </w:p>
        </w:tc>
        <w:tc>
          <w:tcPr>
            <w:tcW w:w="1881" w:type="dxa"/>
          </w:tcPr>
          <w:p w14:paraId="18B9972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是：同键同内容返回首结果，不重复入库</w:t>
            </w:r>
          </w:p>
        </w:tc>
      </w:tr>
      <w:tr w14:paraId="3BAC088E">
        <w:trPr>
          <w:jc w:val="center"/>
        </w:trPr>
        <w:tc>
          <w:tcPr>
            <w:tcW w:w="1881" w:type="dxa"/>
          </w:tcPr>
          <w:p w14:paraId="5CD45B3C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GET /achievements</w:t>
            </w:r>
          </w:p>
        </w:tc>
        <w:tc>
          <w:tcPr>
            <w:tcW w:w="1881" w:type="dxa"/>
          </w:tcPr>
          <w:p w14:paraId="12B7839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关键词、类型、领域、机构、作者、年份口径、排序、页码、页大小</w:t>
            </w:r>
          </w:p>
        </w:tc>
        <w:tc>
          <w:tcPr>
            <w:tcW w:w="1881" w:type="dxa"/>
          </w:tcPr>
          <w:p w14:paraId="31CEB8B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可读结果、总数、分面、条件回显</w:t>
            </w:r>
          </w:p>
        </w:tc>
        <w:tc>
          <w:tcPr>
            <w:tcW w:w="1881" w:type="dxa"/>
          </w:tcPr>
          <w:p w14:paraId="467D7EA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400（条件或页大小非法）、404（对象无权或不存在，统一响应）</w:t>
            </w:r>
          </w:p>
        </w:tc>
        <w:tc>
          <w:tcPr>
            <w:tcW w:w="1881" w:type="dxa"/>
          </w:tcPr>
          <w:p w14:paraId="039FA9D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只读</w:t>
            </w:r>
          </w:p>
        </w:tc>
      </w:tr>
      <w:tr w14:paraId="3B5221C4">
        <w:trPr>
          <w:jc w:val="center"/>
        </w:trPr>
        <w:tc>
          <w:tcPr>
            <w:tcW w:w="1881" w:type="dxa"/>
          </w:tcPr>
          <w:p w14:paraId="7F5F4455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GET /achievements/{id}</w:t>
            </w:r>
          </w:p>
        </w:tc>
        <w:tc>
          <w:tcPr>
            <w:tcW w:w="1881" w:type="dxa"/>
          </w:tcPr>
          <w:p w14:paraId="74E7F6E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稳定 </w:t>
            </w:r>
            <w:r>
              <w:rPr>
                <w:rFonts w:ascii="Consolas" w:hAnsi="Consolas" w:eastAsia="Consolas" w:cs="Consolas"/>
                <w:sz w:val="19"/>
              </w:rPr>
              <w:t>achievement_id</w:t>
            </w:r>
            <w:r>
              <w:rPr>
                <w:rFonts w:ascii="宋体" w:hAnsi="宋体" w:eastAsia="宋体" w:cs="宋体"/>
                <w:sz w:val="19"/>
              </w:rPr>
              <w:t>、调用者身份</w:t>
            </w:r>
          </w:p>
        </w:tc>
        <w:tc>
          <w:tcPr>
            <w:tcW w:w="1881" w:type="dxa"/>
          </w:tcPr>
          <w:p w14:paraId="32F4E86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获准版本、类型专属字段、来源与核验状态</w:t>
            </w:r>
          </w:p>
        </w:tc>
        <w:tc>
          <w:tcPr>
            <w:tcW w:w="1881" w:type="dxa"/>
          </w:tcPr>
          <w:p w14:paraId="2554A20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404（无权或不存在）</w:t>
            </w:r>
          </w:p>
        </w:tc>
        <w:tc>
          <w:tcPr>
            <w:tcW w:w="1881" w:type="dxa"/>
          </w:tcPr>
          <w:p w14:paraId="769CB56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只读</w:t>
            </w:r>
          </w:p>
        </w:tc>
      </w:tr>
      <w:tr w14:paraId="311848CD">
        <w:trPr>
          <w:jc w:val="center"/>
        </w:trPr>
        <w:tc>
          <w:tcPr>
            <w:tcW w:w="1881" w:type="dxa"/>
          </w:tcPr>
          <w:p w14:paraId="77E98AEB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GET /achievements/{id}/attachments/{aid}</w:t>
            </w:r>
          </w:p>
        </w:tc>
        <w:tc>
          <w:tcPr>
            <w:tcW w:w="1881" w:type="dxa"/>
          </w:tcPr>
          <w:p w14:paraId="20D9CD6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成果与附件标识、调用者身份</w:t>
            </w:r>
          </w:p>
        </w:tc>
        <w:tc>
          <w:tcPr>
            <w:tcW w:w="1881" w:type="dxa"/>
          </w:tcPr>
          <w:p w14:paraId="0A96EED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已授权且通过安全检查的附件</w:t>
            </w:r>
          </w:p>
        </w:tc>
        <w:tc>
          <w:tcPr>
            <w:tcW w:w="1881" w:type="dxa"/>
          </w:tcPr>
          <w:p w14:paraId="2175668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403（有权读元数据但无权下载）、404</w:t>
            </w:r>
          </w:p>
        </w:tc>
        <w:tc>
          <w:tcPr>
            <w:tcW w:w="1881" w:type="dxa"/>
          </w:tcPr>
          <w:p w14:paraId="049606C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只读</w:t>
            </w:r>
          </w:p>
        </w:tc>
      </w:tr>
      <w:tr w14:paraId="5A99F4AB">
        <w:trPr>
          <w:jc w:val="center"/>
        </w:trPr>
        <w:tc>
          <w:tcPr>
            <w:tcW w:w="1881" w:type="dxa"/>
          </w:tcPr>
          <w:p w14:paraId="173ABAA6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/exports</w:t>
            </w:r>
          </w:p>
        </w:tc>
        <w:tc>
          <w:tcPr>
            <w:tcW w:w="1881" w:type="dxa"/>
          </w:tcPr>
          <w:p w14:paraId="3CBED42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选中项、格式（CSV／BibTeX）、当前发布版本</w:t>
            </w:r>
          </w:p>
        </w:tc>
        <w:tc>
          <w:tcPr>
            <w:tcW w:w="1881" w:type="dxa"/>
          </w:tcPr>
          <w:p w14:paraId="67BF38E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实际导出条数与格式；≤ 1000 条且 ≤ 10 MB</w:t>
            </w:r>
          </w:p>
        </w:tc>
        <w:tc>
          <w:tcPr>
            <w:tcW w:w="1881" w:type="dxa"/>
          </w:tcPr>
          <w:p w14:paraId="4D2ACE8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413（超限）、207（部分项无权，逐项说明）</w:t>
            </w:r>
          </w:p>
        </w:tc>
        <w:tc>
          <w:tcPr>
            <w:tcW w:w="1881" w:type="dxa"/>
          </w:tcPr>
          <w:p w14:paraId="129B57AF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是：同参数同版本返回一致内容</w:t>
            </w:r>
          </w:p>
        </w:tc>
      </w:tr>
      <w:tr w14:paraId="4B256B07">
        <w:trPr>
          <w:jc w:val="center"/>
        </w:trPr>
        <w:tc>
          <w:tcPr>
            <w:tcW w:w="1881" w:type="dxa"/>
          </w:tcPr>
          <w:p w14:paraId="2469D659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/collect/tasks</w:t>
            </w:r>
          </w:p>
        </w:tc>
        <w:tc>
          <w:tcPr>
            <w:tcW w:w="1881" w:type="dxa"/>
          </w:tcPr>
          <w:p w14:paraId="3D82280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来源标识、检索范围、成果类型、执行方式、更新规则</w:t>
            </w:r>
          </w:p>
        </w:tc>
        <w:tc>
          <w:tcPr>
            <w:tcW w:w="1881" w:type="dxa"/>
          </w:tcPr>
          <w:p w14:paraId="252D7E5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任务编号、状态 </w:t>
            </w:r>
            <w:r>
              <w:rPr>
                <w:rFonts w:ascii="Consolas" w:hAnsi="Consolas" w:eastAsia="Consolas" w:cs="Consolas"/>
                <w:sz w:val="19"/>
              </w:rPr>
              <w:t>queued</w:t>
            </w:r>
            <w:r>
              <w:rPr>
                <w:rFonts w:ascii="宋体" w:hAnsi="宋体" w:eastAsia="宋体" w:cs="宋体"/>
                <w:sz w:val="19"/>
              </w:rPr>
              <w:t>、配置快照</w:t>
            </w:r>
          </w:p>
        </w:tc>
        <w:tc>
          <w:tcPr>
            <w:tcW w:w="1881" w:type="dxa"/>
          </w:tcPr>
          <w:p w14:paraId="0A57F10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403（无权限）、422（来源未获许可或配置不合法）</w:t>
            </w:r>
          </w:p>
        </w:tc>
        <w:tc>
          <w:tcPr>
            <w:tcW w:w="1881" w:type="dxa"/>
          </w:tcPr>
          <w:p w14:paraId="619405D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是：同配置不重复建任务</w:t>
            </w:r>
          </w:p>
        </w:tc>
      </w:tr>
      <w:tr w14:paraId="01F0EDC3">
        <w:trPr>
          <w:jc w:val="center"/>
        </w:trPr>
        <w:tc>
          <w:tcPr>
            <w:tcW w:w="1881" w:type="dxa"/>
          </w:tcPr>
          <w:p w14:paraId="32BBD481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/collect/tasks/{id}/retry</w:t>
            </w:r>
          </w:p>
        </w:tc>
        <w:tc>
          <w:tcPr>
            <w:tcW w:w="1881" w:type="dxa"/>
          </w:tcPr>
          <w:p w14:paraId="1F185F2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任务编号、重试原因</w:t>
            </w:r>
          </w:p>
        </w:tc>
        <w:tc>
          <w:tcPr>
            <w:tcW w:w="1881" w:type="dxa"/>
          </w:tcPr>
          <w:p w14:paraId="5F616356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状态转 </w:t>
            </w:r>
            <w:r>
              <w:rPr>
                <w:rFonts w:ascii="Consolas" w:hAnsi="Consolas" w:eastAsia="Consolas" w:cs="Consolas"/>
                <w:sz w:val="19"/>
              </w:rPr>
              <w:t>retrying</w:t>
            </w:r>
            <w:r>
              <w:rPr>
                <w:rFonts w:ascii="宋体" w:hAnsi="宋体" w:eastAsia="宋体" w:cs="宋体"/>
                <w:sz w:val="19"/>
              </w:rPr>
              <w:t>，记录次数与原因</w:t>
            </w:r>
          </w:p>
        </w:tc>
        <w:tc>
          <w:tcPr>
            <w:tcW w:w="1881" w:type="dxa"/>
          </w:tcPr>
          <w:p w14:paraId="79F816B8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409（已达 3 次上限或状态不允许重试）</w:t>
            </w:r>
          </w:p>
        </w:tc>
        <w:tc>
          <w:tcPr>
            <w:tcW w:w="1881" w:type="dxa"/>
          </w:tcPr>
          <w:p w14:paraId="5CF95B2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</w:t>
            </w:r>
          </w:p>
        </w:tc>
      </w:tr>
      <w:tr w14:paraId="648BA341">
        <w:trPr>
          <w:jc w:val="center"/>
        </w:trPr>
        <w:tc>
          <w:tcPr>
            <w:tcW w:w="1881" w:type="dxa"/>
          </w:tcPr>
          <w:p w14:paraId="225931C5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/collect/tasks/{id}/stop</w:t>
            </w:r>
          </w:p>
        </w:tc>
        <w:tc>
          <w:tcPr>
            <w:tcW w:w="1881" w:type="dxa"/>
          </w:tcPr>
          <w:p w14:paraId="39892C0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任务编号</w:t>
            </w:r>
          </w:p>
        </w:tc>
        <w:tc>
          <w:tcPr>
            <w:tcW w:w="1881" w:type="dxa"/>
          </w:tcPr>
          <w:p w14:paraId="41F9411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状态转 </w:t>
            </w:r>
            <w:r>
              <w:rPr>
                <w:rFonts w:ascii="Consolas" w:hAnsi="Consolas" w:eastAsia="Consolas" w:cs="Consolas"/>
                <w:sz w:val="19"/>
              </w:rPr>
              <w:t>stopped</w:t>
            </w:r>
            <w:r>
              <w:rPr>
                <w:rFonts w:ascii="宋体" w:hAnsi="宋体" w:eastAsia="宋体" w:cs="宋体"/>
                <w:sz w:val="19"/>
              </w:rPr>
              <w:t>，记录停止人与已处理数</w:t>
            </w:r>
          </w:p>
        </w:tc>
        <w:tc>
          <w:tcPr>
            <w:tcW w:w="1881" w:type="dxa"/>
          </w:tcPr>
          <w:p w14:paraId="5EE8D4F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409（任务已终态）</w:t>
            </w:r>
          </w:p>
        </w:tc>
        <w:tc>
          <w:tcPr>
            <w:tcW w:w="1881" w:type="dxa"/>
          </w:tcPr>
          <w:p w14:paraId="2C0A670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</w:t>
            </w:r>
          </w:p>
        </w:tc>
      </w:tr>
      <w:tr w14:paraId="41287607">
        <w:trPr>
          <w:jc w:val="center"/>
        </w:trPr>
        <w:tc>
          <w:tcPr>
            <w:tcW w:w="1881" w:type="dxa"/>
          </w:tcPr>
          <w:p w14:paraId="7F904363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/claims</w:t>
            </w:r>
          </w:p>
        </w:tc>
        <w:tc>
          <w:tcPr>
            <w:tcW w:w="1881" w:type="dxa"/>
          </w:tcPr>
          <w:p w14:paraId="0D6F3959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申请人标识、目标门户标识、佐证材料引用</w:t>
            </w:r>
          </w:p>
        </w:tc>
        <w:tc>
          <w:tcPr>
            <w:tcW w:w="1881" w:type="dxa"/>
          </w:tcPr>
          <w:p w14:paraId="37AF228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申请编号、状态 </w:t>
            </w:r>
            <w:r>
              <w:rPr>
                <w:rFonts w:ascii="Consolas" w:hAnsi="Consolas" w:eastAsia="Consolas" w:cs="Consolas"/>
                <w:sz w:val="19"/>
              </w:rPr>
              <w:t>submitted</w:t>
            </w:r>
          </w:p>
        </w:tc>
        <w:tc>
          <w:tcPr>
            <w:tcW w:w="1881" w:type="dxa"/>
          </w:tcPr>
          <w:p w14:paraId="087AAAC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409（同一申请人对同一门户已有未完结申请）、422（必填或格式不符）</w:t>
            </w:r>
          </w:p>
        </w:tc>
        <w:tc>
          <w:tcPr>
            <w:tcW w:w="1881" w:type="dxa"/>
          </w:tcPr>
          <w:p w14:paraId="4E32482C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是：重复提交返回原申请编号</w:t>
            </w:r>
          </w:p>
        </w:tc>
      </w:tr>
      <w:tr w14:paraId="0CB99C03">
        <w:trPr>
          <w:jc w:val="center"/>
        </w:trPr>
        <w:tc>
          <w:tcPr>
            <w:tcW w:w="1881" w:type="dxa"/>
          </w:tcPr>
          <w:p w14:paraId="2D6CA329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POST /claims/{id}/decide</w:t>
            </w:r>
          </w:p>
        </w:tc>
        <w:tc>
          <w:tcPr>
            <w:tcW w:w="1881" w:type="dxa"/>
          </w:tcPr>
          <w:p w14:paraId="334DEF4B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申请编号、决定（通过／驳回）、理由与依据</w:t>
            </w:r>
          </w:p>
        </w:tc>
        <w:tc>
          <w:tcPr>
            <w:tcW w:w="1881" w:type="dxa"/>
          </w:tcPr>
          <w:p w14:paraId="6B385C07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 xml:space="preserve">状态 </w:t>
            </w:r>
            <w:r>
              <w:rPr>
                <w:rFonts w:ascii="Consolas" w:hAnsi="Consolas" w:eastAsia="Consolas" w:cs="Consolas"/>
                <w:sz w:val="19"/>
              </w:rPr>
              <w:t>approved</w:t>
            </w:r>
            <w:r>
              <w:rPr>
                <w:rFonts w:ascii="宋体" w:hAnsi="宋体" w:eastAsia="宋体" w:cs="宋体"/>
                <w:sz w:val="19"/>
              </w:rPr>
              <w:t>／</w:t>
            </w:r>
            <w:r>
              <w:rPr>
                <w:rFonts w:ascii="Consolas" w:hAnsi="Consolas" w:eastAsia="Consolas" w:cs="Consolas"/>
                <w:sz w:val="19"/>
              </w:rPr>
              <w:t>rejected</w:t>
            </w:r>
            <w:r>
              <w:rPr>
                <w:rFonts w:ascii="宋体" w:hAnsi="宋体" w:eastAsia="宋体" w:cs="宋体"/>
                <w:sz w:val="19"/>
              </w:rPr>
              <w:t>，审核人、时间与日志</w:t>
            </w:r>
          </w:p>
        </w:tc>
        <w:tc>
          <w:tcPr>
            <w:tcW w:w="1881" w:type="dxa"/>
          </w:tcPr>
          <w:p w14:paraId="2E4D2BC4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403（无审核权限）、409（已被并发处理或状态不允许决定）</w:t>
            </w:r>
          </w:p>
        </w:tc>
        <w:tc>
          <w:tcPr>
            <w:tcW w:w="1881" w:type="dxa"/>
          </w:tcPr>
          <w:p w14:paraId="457D0A40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否：同一申请只允许一次有效终局决定</w:t>
            </w:r>
          </w:p>
        </w:tc>
      </w:tr>
      <w:tr w14:paraId="1FD39100">
        <w:trPr>
          <w:jc w:val="center"/>
        </w:trPr>
        <w:tc>
          <w:tcPr>
            <w:tcW w:w="1881" w:type="dxa"/>
          </w:tcPr>
          <w:p w14:paraId="7A896C48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GET /stats/summary</w:t>
            </w:r>
          </w:p>
        </w:tc>
        <w:tc>
          <w:tcPr>
            <w:tcW w:w="1881" w:type="dxa"/>
          </w:tcPr>
          <w:p w14:paraId="2F1BA98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机构、领域、年份、类型筛选</w:t>
            </w:r>
          </w:p>
        </w:tc>
        <w:tc>
          <w:tcPr>
            <w:tcW w:w="1881" w:type="dxa"/>
          </w:tcPr>
          <w:p w14:paraId="140F9A55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可读已发布成果的统计与口径说明（范围、时间、去重方式、生成时间）</w:t>
            </w:r>
          </w:p>
        </w:tc>
        <w:tc>
          <w:tcPr>
            <w:tcW w:w="1881" w:type="dxa"/>
          </w:tcPr>
          <w:p w14:paraId="107B391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400（筛选非法）</w:t>
            </w:r>
          </w:p>
        </w:tc>
        <w:tc>
          <w:tcPr>
            <w:tcW w:w="1881" w:type="dxa"/>
          </w:tcPr>
          <w:p w14:paraId="76AACC5D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只读</w:t>
            </w:r>
          </w:p>
        </w:tc>
      </w:tr>
      <w:tr w14:paraId="537650BA">
        <w:trPr>
          <w:jc w:val="center"/>
        </w:trPr>
        <w:tc>
          <w:tcPr>
            <w:tcW w:w="1881" w:type="dxa"/>
          </w:tcPr>
          <w:p w14:paraId="63A33655">
            <w:pPr>
              <w:spacing w:after="40"/>
            </w:pPr>
            <w:r>
              <w:rPr>
                <w:rFonts w:ascii="Consolas" w:hAnsi="Consolas" w:eastAsia="Consolas" w:cs="Consolas"/>
                <w:sz w:val="19"/>
              </w:rPr>
              <w:t>GET /net/graph</w:t>
            </w:r>
            <w:r>
              <w:rPr>
                <w:rFonts w:ascii="宋体" w:hAnsi="宋体" w:eastAsia="宋体" w:cs="宋体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GET /net/path</w:t>
            </w:r>
          </w:p>
        </w:tc>
        <w:tc>
          <w:tcPr>
            <w:tcW w:w="1881" w:type="dxa"/>
          </w:tcPr>
          <w:p w14:paraId="0274BC61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筛选条件、起止节点</w:t>
            </w:r>
          </w:p>
        </w:tc>
        <w:tc>
          <w:tcPr>
            <w:tcW w:w="1881" w:type="dxa"/>
          </w:tcPr>
          <w:p w14:paraId="41A94083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可读节点与边、边权、最短路径与支撑成果；无连接时返回“当前条件下无路径”</w:t>
            </w:r>
          </w:p>
        </w:tc>
        <w:tc>
          <w:tcPr>
            <w:tcW w:w="1881" w:type="dxa"/>
          </w:tcPr>
          <w:p w14:paraId="39ECE882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400、404（节点不可读）</w:t>
            </w:r>
          </w:p>
        </w:tc>
        <w:tc>
          <w:tcPr>
            <w:tcW w:w="1881" w:type="dxa"/>
          </w:tcPr>
          <w:p w14:paraId="56EB4D6E">
            <w:pPr>
              <w:spacing w:after="40"/>
            </w:pPr>
            <w:r>
              <w:rPr>
                <w:rFonts w:ascii="宋体" w:hAnsi="宋体" w:eastAsia="宋体" w:cs="宋体"/>
                <w:sz w:val="19"/>
              </w:rPr>
              <w:t>只读</w:t>
            </w:r>
          </w:p>
        </w:tc>
      </w:tr>
    </w:tbl>
    <w:p w14:paraId="1428F9F9">
      <w:pPr>
        <w:spacing w:after="40"/>
      </w:pPr>
    </w:p>
    <w:p w14:paraId="78D0057F">
      <w:r>
        <w:rPr>
          <w:rFonts w:ascii="宋体" w:hAnsi="宋体" w:eastAsia="宋体" w:cs="宋体"/>
          <w:b/>
        </w:rPr>
        <w:t>共同约定</w:t>
      </w:r>
      <w:r>
        <w:rPr>
          <w:rFonts w:ascii="宋体" w:hAnsi="宋体" w:eastAsia="宋体" w:cs="宋体"/>
        </w:rPr>
        <w:t>：对象级无权与不存在统一按 404 处理，不泄露记录存在性；公开统计、检索、导出与网络先按同一访问规则过滤；查询失败、明确零结果、权限不足与尚未采集分别呈现，不把服务故障伪装成 0 条。</w:t>
      </w:r>
    </w:p>
    <w:sectPr>
      <w:footerReference r:id="rId5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8E018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FBA88"/>
    <w:rsid w:val="FBDFB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24364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24364B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24364B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100"/>
      <w:outlineLvl w:val="3"/>
    </w:pPr>
    <w:rPr>
      <w:rFonts w:asciiTheme="majorHAnsi" w:hAnsiTheme="majorHAnsi" w:eastAsiaTheme="majorEastAsia" w:cstheme="majorBidi"/>
      <w:b/>
      <w:bCs/>
      <w:i/>
      <w:iCs/>
      <w:color w:val="24364B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黄嘉亮</cp:lastModifiedBy>
  <dcterms:modified xsi:type="dcterms:W3CDTF">2026-10-13T11:12:01Z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4D4DC359464236F56FA1CD6A5A85CA1E_42</vt:lpwstr>
  </property>
</Properties>
</file>