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C072" w14:textId="77777777" w:rsidR="001142D1" w:rsidRPr="00D32926" w:rsidRDefault="001142D1" w:rsidP="001142D1">
      <w:pPr>
        <w:spacing w:line="240" w:lineRule="auto"/>
        <w:rPr>
          <w:rFonts w:ascii="Calibri" w:hAnsi="Calibri" w:cs="Calibri"/>
          <w:b/>
          <w:bCs/>
          <w:noProof/>
          <w:sz w:val="22"/>
          <w:szCs w:val="22"/>
        </w:rPr>
      </w:pPr>
      <w:r w:rsidRPr="00D32926">
        <w:rPr>
          <w:rFonts w:ascii="Calibri" w:hAnsi="Calibri" w:cs="Calibri"/>
          <w:b/>
          <w:bCs/>
          <w:noProof/>
          <w:sz w:val="22"/>
          <w:szCs w:val="22"/>
        </w:rPr>
        <w:t>IBM Telco Customer Churn — Business Report</w:t>
      </w:r>
    </w:p>
    <w:p w14:paraId="1029D2EC" w14:textId="77777777" w:rsidR="001142D1" w:rsidRPr="00D32926" w:rsidRDefault="001142D1" w:rsidP="001142D1">
      <w:pPr>
        <w:spacing w:line="240" w:lineRule="auto"/>
        <w:rPr>
          <w:rFonts w:ascii="Calibri" w:hAnsi="Calibri" w:cs="Calibri"/>
          <w:b/>
          <w:bCs/>
          <w:noProof/>
          <w:sz w:val="22"/>
          <w:szCs w:val="22"/>
        </w:rPr>
      </w:pPr>
      <w:r w:rsidRPr="00D32926">
        <w:rPr>
          <w:rFonts w:ascii="Calibri" w:hAnsi="Calibri" w:cs="Calibri"/>
          <w:b/>
          <w:bCs/>
          <w:noProof/>
          <w:sz w:val="22"/>
          <w:szCs w:val="22"/>
        </w:rPr>
        <w:t>Executive Summary</w:t>
      </w:r>
    </w:p>
    <w:p w14:paraId="2F8D64BA" w14:textId="77777777" w:rsidR="001142D1" w:rsidRPr="00D32926" w:rsidRDefault="001142D1" w:rsidP="001142D1">
      <w:p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>The analysis of the IBM Telco Customer Churn dataset reveals significant patterns driving customer attrition. The company currently serves 7 043 customers, generating $456 116.60 in monthly revenue and $16 056 168.70 in total revenue.</w:t>
      </w:r>
    </w:p>
    <w:p w14:paraId="5E5E07DD" w14:textId="77777777" w:rsidR="001142D1" w:rsidRPr="00D32926" w:rsidRDefault="001142D1" w:rsidP="001142D1">
      <w:p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>The overall customer churn rate is 26.5%, meaning more than one in four customers discontinue their service. This level of churn represents a substantial risk to recurring revenue and long-term profitability.</w:t>
      </w:r>
    </w:p>
    <w:p w14:paraId="58609063" w14:textId="77777777" w:rsidR="001142D1" w:rsidRPr="00D32926" w:rsidRDefault="001142D1" w:rsidP="001142D1">
      <w:p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>The findings indicate that churn is strongly associated with:</w:t>
      </w:r>
    </w:p>
    <w:p w14:paraId="0B8FFD69" w14:textId="77777777" w:rsidR="001142D1" w:rsidRPr="00D32926" w:rsidRDefault="001142D1" w:rsidP="001142D1">
      <w:pPr>
        <w:numPr>
          <w:ilvl w:val="0"/>
          <w:numId w:val="3"/>
        </w:num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 xml:space="preserve">Short-term contracts </w:t>
      </w:r>
    </w:p>
    <w:p w14:paraId="2DF957A6" w14:textId="77777777" w:rsidR="001142D1" w:rsidRPr="00D32926" w:rsidRDefault="001142D1" w:rsidP="001142D1">
      <w:pPr>
        <w:numPr>
          <w:ilvl w:val="0"/>
          <w:numId w:val="3"/>
        </w:num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 xml:space="preserve">Fiber optic internet services </w:t>
      </w:r>
    </w:p>
    <w:p w14:paraId="51A43F1D" w14:textId="77777777" w:rsidR="001142D1" w:rsidRPr="00D32926" w:rsidRDefault="001142D1" w:rsidP="001142D1">
      <w:pPr>
        <w:numPr>
          <w:ilvl w:val="0"/>
          <w:numId w:val="3"/>
        </w:num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 xml:space="preserve">Electronic check payments </w:t>
      </w:r>
    </w:p>
    <w:p w14:paraId="25162423" w14:textId="77777777" w:rsidR="001142D1" w:rsidRPr="00D32926" w:rsidRDefault="001142D1" w:rsidP="001142D1">
      <w:pPr>
        <w:numPr>
          <w:ilvl w:val="0"/>
          <w:numId w:val="3"/>
        </w:num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 xml:space="preserve">Higher monthly charges </w:t>
      </w:r>
    </w:p>
    <w:p w14:paraId="5D751C11" w14:textId="77777777" w:rsidR="001142D1" w:rsidRPr="00D32926" w:rsidRDefault="001142D1" w:rsidP="001142D1">
      <w:pPr>
        <w:numPr>
          <w:ilvl w:val="0"/>
          <w:numId w:val="3"/>
        </w:num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 xml:space="preserve">Certain demographic groups, particularly senior citizens </w:t>
      </w:r>
    </w:p>
    <w:p w14:paraId="70C2B1B5" w14:textId="77777777" w:rsidR="001142D1" w:rsidRPr="00D32926" w:rsidRDefault="001142D1" w:rsidP="001142D1">
      <w:pPr>
        <w:spacing w:line="240" w:lineRule="auto"/>
        <w:rPr>
          <w:rFonts w:ascii="Calibri" w:hAnsi="Calibri" w:cs="Calibri"/>
          <w:noProof/>
          <w:sz w:val="22"/>
          <w:szCs w:val="22"/>
        </w:rPr>
      </w:pPr>
      <w:r w:rsidRPr="00D32926">
        <w:rPr>
          <w:rFonts w:ascii="Calibri" w:hAnsi="Calibri" w:cs="Calibri"/>
          <w:noProof/>
          <w:sz w:val="22"/>
          <w:szCs w:val="22"/>
        </w:rPr>
        <w:t>These insights provide clear opportunities for targeted retention strategies and operational improvements.</w:t>
      </w:r>
    </w:p>
    <w:p w14:paraId="79C343D0" w14:textId="5375BC63" w:rsidR="00991542" w:rsidRPr="00D32926" w:rsidRDefault="00991542" w:rsidP="00397031">
      <w:pPr>
        <w:spacing w:line="240" w:lineRule="auto"/>
        <w:rPr>
          <w:rFonts w:ascii="Calibri" w:hAnsi="Calibri" w:cs="Calibri"/>
          <w:b/>
          <w:bCs/>
          <w:noProof/>
          <w:sz w:val="22"/>
          <w:szCs w:val="22"/>
        </w:rPr>
      </w:pPr>
      <w:r w:rsidRPr="00D32926">
        <w:rPr>
          <w:rFonts w:ascii="Calibri" w:hAnsi="Calibri" w:cs="Calibri"/>
          <w:b/>
          <w:bCs/>
          <w:noProof/>
          <w:sz w:val="22"/>
          <w:szCs w:val="22"/>
        </w:rPr>
        <w:t>VISUALISATIONS</w:t>
      </w:r>
    </w:p>
    <w:p w14:paraId="466481B6" w14:textId="77777777" w:rsidR="00991542" w:rsidRPr="00397031" w:rsidRDefault="00991542" w:rsidP="00397031">
      <w:pPr>
        <w:spacing w:line="240" w:lineRule="auto"/>
        <w:rPr>
          <w:rFonts w:ascii="Calibri" w:hAnsi="Calibri" w:cs="Calibri"/>
          <w:noProof/>
        </w:rPr>
      </w:pPr>
    </w:p>
    <w:p w14:paraId="5F8F4F62" w14:textId="530D7594" w:rsidR="00AC00E4" w:rsidRDefault="00991542" w:rsidP="00397031">
      <w:pPr>
        <w:spacing w:line="240" w:lineRule="auto"/>
        <w:jc w:val="center"/>
        <w:rPr>
          <w:rFonts w:ascii="Calibri" w:hAnsi="Calibri" w:cs="Calibri"/>
        </w:rPr>
      </w:pPr>
      <w:r w:rsidRPr="00397031">
        <w:rPr>
          <w:rFonts w:ascii="Calibri" w:hAnsi="Calibri" w:cs="Calibri"/>
          <w:noProof/>
          <w:shd w:val="clear" w:color="auto" w:fill="FFFFFF" w:themeFill="background1"/>
        </w:rPr>
        <w:drawing>
          <wp:inline distT="0" distB="0" distL="0" distR="0" wp14:anchorId="12252080" wp14:editId="5ACB7768">
            <wp:extent cx="4332514" cy="2541905"/>
            <wp:effectExtent l="0" t="0" r="0" b="0"/>
            <wp:docPr id="985150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50870" name="Picture 985150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772" cy="25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90F9" w14:textId="77777777" w:rsidR="00A35373" w:rsidRPr="00397031" w:rsidRDefault="00A35373" w:rsidP="00397031">
      <w:pPr>
        <w:spacing w:line="240" w:lineRule="auto"/>
        <w:jc w:val="center"/>
        <w:rPr>
          <w:rFonts w:ascii="Calibri" w:hAnsi="Calibri" w:cs="Calibri"/>
        </w:rPr>
      </w:pPr>
    </w:p>
    <w:p w14:paraId="25909C41" w14:textId="0B5E05E3" w:rsidR="00991542" w:rsidRPr="00397031" w:rsidRDefault="00991542" w:rsidP="00397031">
      <w:pPr>
        <w:spacing w:line="240" w:lineRule="auto"/>
        <w:jc w:val="center"/>
        <w:rPr>
          <w:rFonts w:ascii="Calibri" w:hAnsi="Calibri" w:cs="Calibri"/>
        </w:rPr>
      </w:pPr>
      <w:r w:rsidRPr="00397031">
        <w:rPr>
          <w:rFonts w:ascii="Calibri" w:hAnsi="Calibri" w:cs="Calibri"/>
          <w:noProof/>
        </w:rPr>
        <w:lastRenderedPageBreak/>
        <w:drawing>
          <wp:inline distT="0" distB="0" distL="0" distR="0" wp14:anchorId="31148EC9" wp14:editId="126D52A3">
            <wp:extent cx="4474029" cy="2430780"/>
            <wp:effectExtent l="0" t="0" r="3175" b="7620"/>
            <wp:docPr id="723292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92778" name="Picture 723292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243" cy="2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9BB6" w14:textId="77777777" w:rsidR="00991542" w:rsidRPr="00397031" w:rsidRDefault="00991542" w:rsidP="00397031">
      <w:pPr>
        <w:spacing w:line="240" w:lineRule="auto"/>
        <w:rPr>
          <w:rFonts w:ascii="Calibri" w:hAnsi="Calibri" w:cs="Calibri"/>
        </w:rPr>
      </w:pPr>
    </w:p>
    <w:p w14:paraId="65555B62" w14:textId="08764160" w:rsidR="00991542" w:rsidRDefault="00991542" w:rsidP="00397031">
      <w:pPr>
        <w:spacing w:line="240" w:lineRule="auto"/>
        <w:jc w:val="center"/>
        <w:rPr>
          <w:rFonts w:ascii="Calibri" w:hAnsi="Calibri" w:cs="Calibri"/>
        </w:rPr>
      </w:pPr>
      <w:r w:rsidRPr="00397031">
        <w:rPr>
          <w:rFonts w:ascii="Calibri" w:hAnsi="Calibri" w:cs="Calibri"/>
          <w:noProof/>
        </w:rPr>
        <w:drawing>
          <wp:inline distT="0" distB="0" distL="0" distR="0" wp14:anchorId="3BB6B3CD" wp14:editId="56F3C150">
            <wp:extent cx="3973286" cy="2430780"/>
            <wp:effectExtent l="0" t="0" r="8255" b="7620"/>
            <wp:docPr id="1656972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2270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247" cy="244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AA59" w14:textId="77777777" w:rsidR="00A35373" w:rsidRPr="00397031" w:rsidRDefault="00A35373" w:rsidP="00397031">
      <w:pPr>
        <w:spacing w:line="240" w:lineRule="auto"/>
        <w:jc w:val="center"/>
        <w:rPr>
          <w:rFonts w:ascii="Calibri" w:hAnsi="Calibri" w:cs="Calibri"/>
        </w:rPr>
      </w:pPr>
    </w:p>
    <w:p w14:paraId="0F3828F3" w14:textId="1E25DAD5" w:rsidR="00841CD6" w:rsidRDefault="005A4924" w:rsidP="00397031">
      <w:pPr>
        <w:spacing w:line="240" w:lineRule="auto"/>
        <w:jc w:val="center"/>
        <w:rPr>
          <w:rFonts w:ascii="Calibri" w:hAnsi="Calibri" w:cs="Calibri"/>
        </w:rPr>
      </w:pPr>
      <w:r w:rsidRPr="00397031">
        <w:rPr>
          <w:rFonts w:ascii="Calibri" w:hAnsi="Calibri" w:cs="Calibri"/>
          <w:noProof/>
        </w:rPr>
        <w:drawing>
          <wp:inline distT="0" distB="0" distL="0" distR="0" wp14:anchorId="2D48EBD5" wp14:editId="2009A7E5">
            <wp:extent cx="3994241" cy="2407215"/>
            <wp:effectExtent l="0" t="0" r="6350" b="0"/>
            <wp:docPr id="1103578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78639" name="Picture 11035786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721" cy="242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CFFA" w14:textId="77777777" w:rsidR="00A35373" w:rsidRPr="00397031" w:rsidRDefault="00A35373" w:rsidP="00397031">
      <w:pPr>
        <w:spacing w:line="240" w:lineRule="auto"/>
        <w:jc w:val="center"/>
        <w:rPr>
          <w:rFonts w:ascii="Calibri" w:hAnsi="Calibri" w:cs="Calibri"/>
        </w:rPr>
      </w:pPr>
    </w:p>
    <w:p w14:paraId="4C89853C" w14:textId="77777777" w:rsidR="008F1279" w:rsidRPr="00397031" w:rsidRDefault="008F1279" w:rsidP="00397031">
      <w:pPr>
        <w:spacing w:line="240" w:lineRule="auto"/>
        <w:rPr>
          <w:rFonts w:ascii="Calibri" w:hAnsi="Calibri" w:cs="Calibri"/>
        </w:rPr>
      </w:pPr>
    </w:p>
    <w:p w14:paraId="2C65D865" w14:textId="4B87CC1A" w:rsidR="008F1279" w:rsidRPr="00397031" w:rsidRDefault="008F1279" w:rsidP="00397031">
      <w:pPr>
        <w:spacing w:line="240" w:lineRule="auto"/>
        <w:jc w:val="center"/>
        <w:rPr>
          <w:rFonts w:ascii="Calibri" w:hAnsi="Calibri" w:cs="Calibri"/>
        </w:rPr>
      </w:pPr>
      <w:r w:rsidRPr="00397031">
        <w:rPr>
          <w:rFonts w:ascii="Calibri" w:hAnsi="Calibri" w:cs="Calibri"/>
          <w:noProof/>
        </w:rPr>
        <w:lastRenderedPageBreak/>
        <w:drawing>
          <wp:inline distT="0" distB="0" distL="0" distR="0" wp14:anchorId="33ADDC7C" wp14:editId="646788C9">
            <wp:extent cx="4223385" cy="2329543"/>
            <wp:effectExtent l="0" t="0" r="5715" b="0"/>
            <wp:docPr id="459092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92850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007" cy="23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2112" w14:textId="77777777" w:rsidR="008F1279" w:rsidRPr="00397031" w:rsidRDefault="008F1279" w:rsidP="00397031">
      <w:pPr>
        <w:spacing w:line="240" w:lineRule="auto"/>
        <w:rPr>
          <w:rFonts w:ascii="Calibri" w:hAnsi="Calibri" w:cs="Calibri"/>
        </w:rPr>
      </w:pPr>
    </w:p>
    <w:p w14:paraId="5699B45A" w14:textId="52663EBE" w:rsidR="00841CD6" w:rsidRPr="00397031" w:rsidRDefault="008F1279" w:rsidP="00397031">
      <w:pPr>
        <w:spacing w:line="240" w:lineRule="auto"/>
        <w:jc w:val="center"/>
        <w:rPr>
          <w:rFonts w:ascii="Calibri" w:hAnsi="Calibri" w:cs="Calibri"/>
        </w:rPr>
      </w:pPr>
      <w:r w:rsidRPr="00397031">
        <w:rPr>
          <w:rFonts w:ascii="Calibri" w:hAnsi="Calibri" w:cs="Calibri"/>
          <w:noProof/>
        </w:rPr>
        <w:drawing>
          <wp:inline distT="0" distB="0" distL="0" distR="0" wp14:anchorId="776A2FA0" wp14:editId="5797D549">
            <wp:extent cx="3995057" cy="2797175"/>
            <wp:effectExtent l="0" t="0" r="5715" b="3175"/>
            <wp:docPr id="1099911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1227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040" cy="281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6F11" w14:textId="77777777" w:rsidR="00841CD6" w:rsidRPr="00397031" w:rsidRDefault="00841CD6" w:rsidP="00397031">
      <w:pPr>
        <w:spacing w:line="240" w:lineRule="auto"/>
        <w:rPr>
          <w:rFonts w:ascii="Calibri" w:hAnsi="Calibri" w:cs="Calibri"/>
        </w:rPr>
      </w:pPr>
    </w:p>
    <w:p w14:paraId="2CEEE81C" w14:textId="2C23EA40" w:rsidR="004B4ACF" w:rsidRPr="00E34588" w:rsidRDefault="004148F7" w:rsidP="00E34588">
      <w:pPr>
        <w:spacing w:line="240" w:lineRule="auto"/>
        <w:jc w:val="center"/>
        <w:rPr>
          <w:rFonts w:ascii="Calibri" w:hAnsi="Calibri" w:cs="Calibri"/>
        </w:rPr>
      </w:pPr>
      <w:r w:rsidRPr="00397031">
        <w:rPr>
          <w:rFonts w:ascii="Calibri" w:hAnsi="Calibri" w:cs="Calibri"/>
          <w:noProof/>
        </w:rPr>
        <w:drawing>
          <wp:inline distT="0" distB="0" distL="0" distR="0" wp14:anchorId="06D8A6CE" wp14:editId="7DDEB36A">
            <wp:extent cx="4419600" cy="2743200"/>
            <wp:effectExtent l="0" t="0" r="0" b="0"/>
            <wp:docPr id="2741254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4E42936-91DF-334C-483F-FB5CFB2BEC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0B2C826" w14:textId="7AD60A63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lastRenderedPageBreak/>
        <w:t>K</w:t>
      </w:r>
      <w:r w:rsidR="00A20D7E">
        <w:rPr>
          <w:rFonts w:ascii="Calibri" w:hAnsi="Calibri" w:cs="Calibri"/>
          <w:b/>
          <w:bCs/>
          <w:sz w:val="22"/>
          <w:szCs w:val="22"/>
        </w:rPr>
        <w:t>EY INSIGHTS</w:t>
      </w:r>
    </w:p>
    <w:p w14:paraId="15B54C86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1. Customers Without Long-Term Contracts Churn More Frequently</w:t>
      </w:r>
    </w:p>
    <w:p w14:paraId="674567C0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Customers on </w:t>
      </w:r>
      <w:r w:rsidRPr="00D32926">
        <w:rPr>
          <w:rFonts w:ascii="Calibri" w:hAnsi="Calibri" w:cs="Calibri"/>
          <w:b/>
          <w:bCs/>
          <w:sz w:val="22"/>
          <w:szCs w:val="22"/>
        </w:rPr>
        <w:t>month-to-month contracts</w:t>
      </w:r>
      <w:r w:rsidRPr="00D32926">
        <w:rPr>
          <w:rFonts w:ascii="Calibri" w:hAnsi="Calibri" w:cs="Calibri"/>
          <w:sz w:val="22"/>
          <w:szCs w:val="22"/>
        </w:rPr>
        <w:t xml:space="preserve"> show significantly higher churn rates compared to customers on one-year or two-year agreements.</w:t>
      </w:r>
    </w:p>
    <w:p w14:paraId="6CAA1DFE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Possible Drivers</w:t>
      </w:r>
    </w:p>
    <w:p w14:paraId="554D9308" w14:textId="77777777" w:rsidR="0082362E" w:rsidRPr="00D32926" w:rsidRDefault="0082362E" w:rsidP="00D32926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Minimal switching costs </w:t>
      </w:r>
    </w:p>
    <w:p w14:paraId="1C0E7A31" w14:textId="77777777" w:rsidR="0082362E" w:rsidRPr="00D32926" w:rsidRDefault="0082362E" w:rsidP="00D32926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Lack of contractual commitment </w:t>
      </w:r>
    </w:p>
    <w:p w14:paraId="72726CEF" w14:textId="77777777" w:rsidR="0082362E" w:rsidRPr="00D32926" w:rsidRDefault="0082362E" w:rsidP="00D32926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Easier comparison with competitors </w:t>
      </w:r>
    </w:p>
    <w:p w14:paraId="2ACA0370" w14:textId="77777777" w:rsidR="0082362E" w:rsidRPr="00D32926" w:rsidRDefault="0082362E" w:rsidP="00D32926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Increased price sensitivity </w:t>
      </w:r>
    </w:p>
    <w:p w14:paraId="22F2A7D8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Business Impact</w:t>
      </w:r>
    </w:p>
    <w:p w14:paraId="521DE03C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Short-term customers create unstable recurring revenue streams and require continuous acquisition spending to replace lost customers.</w:t>
      </w:r>
    </w:p>
    <w:p w14:paraId="5F3044AC" w14:textId="3E972F88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59C76362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2. Fiber Optic Customers Exhibit Higher Churn</w:t>
      </w:r>
    </w:p>
    <w:p w14:paraId="513C8BD4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Customers subscribed to </w:t>
      </w:r>
      <w:r w:rsidRPr="00D32926">
        <w:rPr>
          <w:rFonts w:ascii="Calibri" w:hAnsi="Calibri" w:cs="Calibri"/>
          <w:b/>
          <w:bCs/>
          <w:sz w:val="22"/>
          <w:szCs w:val="22"/>
        </w:rPr>
        <w:t>fiber internet services</w:t>
      </w:r>
      <w:r w:rsidRPr="00D32926">
        <w:rPr>
          <w:rFonts w:ascii="Calibri" w:hAnsi="Calibri" w:cs="Calibri"/>
          <w:sz w:val="22"/>
          <w:szCs w:val="22"/>
        </w:rPr>
        <w:t xml:space="preserve"> churn at a notably higher rate than DSL customers.</w:t>
      </w:r>
    </w:p>
    <w:p w14:paraId="1ACD2D11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Possible Drivers</w:t>
      </w:r>
    </w:p>
    <w:p w14:paraId="4C46B1FA" w14:textId="77777777" w:rsidR="0082362E" w:rsidRPr="00D32926" w:rsidRDefault="0082362E" w:rsidP="00D32926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Higher pricing expectations </w:t>
      </w:r>
    </w:p>
    <w:p w14:paraId="4F26A4A1" w14:textId="77777777" w:rsidR="0082362E" w:rsidRPr="00D32926" w:rsidRDefault="0082362E" w:rsidP="00D32926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Service reliability or performance issues </w:t>
      </w:r>
    </w:p>
    <w:p w14:paraId="1886820B" w14:textId="77777777" w:rsidR="0082362E" w:rsidRPr="00D32926" w:rsidRDefault="0082362E" w:rsidP="00D32926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Customer dissatisfaction relative to cost </w:t>
      </w:r>
    </w:p>
    <w:p w14:paraId="7B379365" w14:textId="77777777" w:rsidR="0082362E" w:rsidRPr="00D32926" w:rsidRDefault="0082362E" w:rsidP="00D32926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Competitive alternatives in high-speed internet </w:t>
      </w:r>
    </w:p>
    <w:p w14:paraId="1E1E7AC3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Business Impact</w:t>
      </w:r>
    </w:p>
    <w:p w14:paraId="12584211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Fiber customers are often higher-value customers. Losing them results in disproportionate revenue loss.</w:t>
      </w:r>
    </w:p>
    <w:p w14:paraId="5EEB34A1" w14:textId="47F81291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004EF602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3. Electronic Check Users Are More Likely to Churn</w:t>
      </w:r>
    </w:p>
    <w:p w14:paraId="70406551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Customers paying via </w:t>
      </w:r>
      <w:r w:rsidRPr="00D32926">
        <w:rPr>
          <w:rFonts w:ascii="Calibri" w:hAnsi="Calibri" w:cs="Calibri"/>
          <w:b/>
          <w:bCs/>
          <w:sz w:val="22"/>
          <w:szCs w:val="22"/>
        </w:rPr>
        <w:t>electronic check</w:t>
      </w:r>
      <w:r w:rsidRPr="00D32926">
        <w:rPr>
          <w:rFonts w:ascii="Calibri" w:hAnsi="Calibri" w:cs="Calibri"/>
          <w:sz w:val="22"/>
          <w:szCs w:val="22"/>
        </w:rPr>
        <w:t xml:space="preserve"> demonstrate substantially higher churn rates.</w:t>
      </w:r>
    </w:p>
    <w:p w14:paraId="717BD646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Possible Drivers</w:t>
      </w:r>
    </w:p>
    <w:p w14:paraId="36D841C7" w14:textId="77777777" w:rsidR="0082362E" w:rsidRPr="00D32926" w:rsidRDefault="0082362E" w:rsidP="00D32926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Lower customer commitment </w:t>
      </w:r>
    </w:p>
    <w:p w14:paraId="21603CFF" w14:textId="77777777" w:rsidR="0082362E" w:rsidRPr="00D32926" w:rsidRDefault="0082362E" w:rsidP="00D32926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Greater payment friction </w:t>
      </w:r>
    </w:p>
    <w:p w14:paraId="0410C3FA" w14:textId="77777777" w:rsidR="0082362E" w:rsidRPr="00D32926" w:rsidRDefault="0082362E" w:rsidP="00D32926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Failed or delayed payments </w:t>
      </w:r>
    </w:p>
    <w:p w14:paraId="123B1049" w14:textId="77777777" w:rsidR="0082362E" w:rsidRPr="00D32926" w:rsidRDefault="0082362E" w:rsidP="00D32926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Financial instability within this segment </w:t>
      </w:r>
    </w:p>
    <w:p w14:paraId="7EEC786A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Business Impact</w:t>
      </w:r>
    </w:p>
    <w:p w14:paraId="50D467AD" w14:textId="4B67CE2F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Payment </w:t>
      </w:r>
      <w:r w:rsidR="006C0929" w:rsidRPr="00D32926">
        <w:rPr>
          <w:rFonts w:ascii="Calibri" w:hAnsi="Calibri" w:cs="Calibri"/>
          <w:sz w:val="22"/>
          <w:szCs w:val="22"/>
        </w:rPr>
        <w:t>behaviour</w:t>
      </w:r>
      <w:r w:rsidRPr="00D32926">
        <w:rPr>
          <w:rFonts w:ascii="Calibri" w:hAnsi="Calibri" w:cs="Calibri"/>
          <w:sz w:val="22"/>
          <w:szCs w:val="22"/>
        </w:rPr>
        <w:t xml:space="preserve"> may serve as an early warning indicator for churn prediction models.</w:t>
      </w:r>
    </w:p>
    <w:p w14:paraId="7F9A4AB6" w14:textId="07777DB8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5D31136A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4. Senior Citizens Show Elevated Churn Risk</w:t>
      </w:r>
    </w:p>
    <w:p w14:paraId="3EC2A78B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Senior citizens churn more frequently than non-senior customers.</w:t>
      </w:r>
    </w:p>
    <w:p w14:paraId="4CA257C3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Possible Drivers</w:t>
      </w:r>
    </w:p>
    <w:p w14:paraId="0B0DACA2" w14:textId="77777777" w:rsidR="0082362E" w:rsidRPr="00D32926" w:rsidRDefault="0082362E" w:rsidP="00D3292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Difficulty navigating technical support </w:t>
      </w:r>
    </w:p>
    <w:p w14:paraId="26A47FB2" w14:textId="77777777" w:rsidR="0082362E" w:rsidRPr="00D32926" w:rsidRDefault="0082362E" w:rsidP="00D3292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Billing complexity </w:t>
      </w:r>
    </w:p>
    <w:p w14:paraId="0FC39606" w14:textId="77777777" w:rsidR="0082362E" w:rsidRPr="00D32926" w:rsidRDefault="0082362E" w:rsidP="00D3292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Lower digital confidence </w:t>
      </w:r>
    </w:p>
    <w:p w14:paraId="5D5F2D29" w14:textId="77777777" w:rsidR="0082362E" w:rsidRPr="00D32926" w:rsidRDefault="0082362E" w:rsidP="00D3292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Service usability concerns </w:t>
      </w:r>
    </w:p>
    <w:p w14:paraId="27545497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Business Impact</w:t>
      </w:r>
    </w:p>
    <w:p w14:paraId="693DDE66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This segment may require tailored communication and support experiences.</w:t>
      </w:r>
    </w:p>
    <w:p w14:paraId="0589DC14" w14:textId="28D10552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14CCA9C2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5. Higher Monthly Charges Correlate With Higher Churn</w:t>
      </w:r>
    </w:p>
    <w:p w14:paraId="0A993DB0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Customers with higher monthly bills are more likely to leave the service.</w:t>
      </w:r>
    </w:p>
    <w:p w14:paraId="33E043FB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Possible Drivers</w:t>
      </w:r>
    </w:p>
    <w:p w14:paraId="3D9CD31E" w14:textId="77777777" w:rsidR="0082362E" w:rsidRPr="00D32926" w:rsidRDefault="0082362E" w:rsidP="00D32926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Perceived lack of value </w:t>
      </w:r>
    </w:p>
    <w:p w14:paraId="445C050F" w14:textId="77777777" w:rsidR="0082362E" w:rsidRPr="00D32926" w:rsidRDefault="0082362E" w:rsidP="00D32926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Price sensitivity </w:t>
      </w:r>
    </w:p>
    <w:p w14:paraId="193ADE27" w14:textId="77777777" w:rsidR="0082362E" w:rsidRPr="00D32926" w:rsidRDefault="0082362E" w:rsidP="00D32926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Better-priced competitor offerings </w:t>
      </w:r>
    </w:p>
    <w:p w14:paraId="02693F82" w14:textId="77777777" w:rsidR="0082362E" w:rsidRPr="00D32926" w:rsidRDefault="0082362E" w:rsidP="00D32926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Bundled services not delivering expected benefits </w:t>
      </w:r>
    </w:p>
    <w:p w14:paraId="1AB620B1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Business Impact</w:t>
      </w:r>
    </w:p>
    <w:p w14:paraId="5810DE33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High-value customers represent a critical retention priority because they contribute more revenue per user.</w:t>
      </w:r>
    </w:p>
    <w:p w14:paraId="1A292857" w14:textId="42643144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37FD54F8" w14:textId="31668258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S</w:t>
      </w:r>
      <w:r w:rsidR="00A20D7E">
        <w:rPr>
          <w:rFonts w:ascii="Calibri" w:hAnsi="Calibri" w:cs="Calibri"/>
          <w:b/>
          <w:bCs/>
          <w:sz w:val="22"/>
          <w:szCs w:val="22"/>
        </w:rPr>
        <w:t>TRATEGIC RECOMMENDATIONS</w:t>
      </w:r>
    </w:p>
    <w:p w14:paraId="0CB16CE3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1. Target High-Risk Customers With Predictive Retention Campaigns</w:t>
      </w:r>
    </w:p>
    <w:p w14:paraId="0DAAFC30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Develop churn prediction models to proactively identify:</w:t>
      </w:r>
    </w:p>
    <w:p w14:paraId="739967FE" w14:textId="77777777" w:rsidR="0082362E" w:rsidRPr="00D32926" w:rsidRDefault="0082362E" w:rsidP="00D32926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Month-to-month customers </w:t>
      </w:r>
    </w:p>
    <w:p w14:paraId="5F378211" w14:textId="77777777" w:rsidR="0082362E" w:rsidRPr="00D32926" w:rsidRDefault="0082362E" w:rsidP="00D32926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Fiber customers </w:t>
      </w:r>
    </w:p>
    <w:p w14:paraId="6F85BDAF" w14:textId="77777777" w:rsidR="0082362E" w:rsidRPr="00D32926" w:rsidRDefault="0082362E" w:rsidP="00D32926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High monthly spenders </w:t>
      </w:r>
    </w:p>
    <w:p w14:paraId="78CAD7E9" w14:textId="77777777" w:rsidR="0082362E" w:rsidRPr="00D32926" w:rsidRDefault="0082362E" w:rsidP="00D32926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Electronic check users </w:t>
      </w:r>
    </w:p>
    <w:p w14:paraId="18C9F0DF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Suggested Actions</w:t>
      </w:r>
    </w:p>
    <w:p w14:paraId="162A4BCB" w14:textId="77777777" w:rsidR="0082362E" w:rsidRPr="00D32926" w:rsidRDefault="0082362E" w:rsidP="00D32926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Personalized retention offers </w:t>
      </w:r>
    </w:p>
    <w:p w14:paraId="6FAA67BC" w14:textId="77777777" w:rsidR="0082362E" w:rsidRPr="00D32926" w:rsidRDefault="0082362E" w:rsidP="00D32926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Loyalty discounts </w:t>
      </w:r>
    </w:p>
    <w:p w14:paraId="775A91F4" w14:textId="77777777" w:rsidR="0082362E" w:rsidRPr="00D32926" w:rsidRDefault="0082362E" w:rsidP="00D32926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Dedicated support outreach </w:t>
      </w:r>
    </w:p>
    <w:p w14:paraId="689E24D1" w14:textId="77777777" w:rsidR="0082362E" w:rsidRPr="00D32926" w:rsidRDefault="0082362E" w:rsidP="00D32926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lastRenderedPageBreak/>
        <w:t xml:space="preserve">Early intervention campaigns </w:t>
      </w:r>
    </w:p>
    <w:p w14:paraId="15F7446A" w14:textId="503382F8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4A084BDB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2. Improve Customer Onboarding</w:t>
      </w:r>
    </w:p>
    <w:p w14:paraId="3B52F6FC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The first few months are critical for retention.</w:t>
      </w:r>
    </w:p>
    <w:p w14:paraId="78DA06FF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Suggested Actions</w:t>
      </w:r>
    </w:p>
    <w:p w14:paraId="5F4B6297" w14:textId="77777777" w:rsidR="0082362E" w:rsidRPr="00D32926" w:rsidRDefault="0082362E" w:rsidP="00D32926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Simplify setup and activation </w:t>
      </w:r>
    </w:p>
    <w:p w14:paraId="6A1221BB" w14:textId="77777777" w:rsidR="0082362E" w:rsidRPr="00D32926" w:rsidRDefault="0082362E" w:rsidP="00D32926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Provide guided onboarding </w:t>
      </w:r>
    </w:p>
    <w:p w14:paraId="54A4EBD5" w14:textId="77777777" w:rsidR="0082362E" w:rsidRPr="00D32926" w:rsidRDefault="0082362E" w:rsidP="00D32926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Deliver proactive customer support </w:t>
      </w:r>
    </w:p>
    <w:p w14:paraId="55F82F9B" w14:textId="77777777" w:rsidR="0082362E" w:rsidRPr="00D32926" w:rsidRDefault="0082362E" w:rsidP="00D32926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Monitor early service complaints </w:t>
      </w:r>
    </w:p>
    <w:p w14:paraId="2D47365C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A strong onboarding experience can reduce early-stage churn significantly.</w:t>
      </w:r>
    </w:p>
    <w:p w14:paraId="1FFD343A" w14:textId="562CED43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4FC94F84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3. Encourage Long-Term Contracts</w:t>
      </w:r>
    </w:p>
    <w:p w14:paraId="78FC4880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Increase migration from month-to-month agreements to annual plans.</w:t>
      </w:r>
    </w:p>
    <w:p w14:paraId="017656A2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Suggested Actions</w:t>
      </w:r>
    </w:p>
    <w:p w14:paraId="33E62958" w14:textId="77777777" w:rsidR="0082362E" w:rsidRPr="00D32926" w:rsidRDefault="0082362E" w:rsidP="00D32926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Offer discounted annual pricing </w:t>
      </w:r>
    </w:p>
    <w:p w14:paraId="1FCCDA0E" w14:textId="77777777" w:rsidR="0082362E" w:rsidRPr="00D32926" w:rsidRDefault="0082362E" w:rsidP="00D32926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Bundle streaming or premium services </w:t>
      </w:r>
    </w:p>
    <w:p w14:paraId="10D61C33" w14:textId="77777777" w:rsidR="0082362E" w:rsidRPr="00D32926" w:rsidRDefault="0082362E" w:rsidP="00D32926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Introduce loyalty rewards </w:t>
      </w:r>
    </w:p>
    <w:p w14:paraId="010488D7" w14:textId="77777777" w:rsidR="0082362E" w:rsidRPr="00D32926" w:rsidRDefault="0082362E" w:rsidP="00D32926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Provide contract upgrade incentives </w:t>
      </w:r>
    </w:p>
    <w:p w14:paraId="260253B2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Longer contracts improve revenue predictability and customer lifetime value.</w:t>
      </w:r>
    </w:p>
    <w:p w14:paraId="42519C9C" w14:textId="0086C589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4FF1D833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4. Reduce Payment Friction</w:t>
      </w:r>
    </w:p>
    <w:p w14:paraId="0BFFF9F7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Encourage customers to move away from electronic checks.</w:t>
      </w:r>
    </w:p>
    <w:p w14:paraId="76253F9C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Suggested Actions</w:t>
      </w:r>
    </w:p>
    <w:p w14:paraId="0E063D6F" w14:textId="77777777" w:rsidR="0082362E" w:rsidRPr="00D32926" w:rsidRDefault="0082362E" w:rsidP="00D32926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Promote automatic payments </w:t>
      </w:r>
    </w:p>
    <w:p w14:paraId="206F853F" w14:textId="77777777" w:rsidR="0082362E" w:rsidRPr="00D32926" w:rsidRDefault="0082362E" w:rsidP="00D32926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Incentivize credit card or bank debit usage </w:t>
      </w:r>
    </w:p>
    <w:p w14:paraId="71578505" w14:textId="77777777" w:rsidR="0082362E" w:rsidRPr="00D32926" w:rsidRDefault="0082362E" w:rsidP="00D32926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Simplify billing processes </w:t>
      </w:r>
    </w:p>
    <w:p w14:paraId="4597076E" w14:textId="77777777" w:rsidR="0082362E" w:rsidRPr="00D32926" w:rsidRDefault="0082362E" w:rsidP="00D32926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Improve payment reminder systems </w:t>
      </w:r>
    </w:p>
    <w:p w14:paraId="4E04CF1E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Reducing billing friction can improve both retention and cash flow reliability.</w:t>
      </w:r>
    </w:p>
    <w:p w14:paraId="298A88AB" w14:textId="158C6A6F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42A9C8A2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5. Review Fiber Service Experience</w:t>
      </w:r>
    </w:p>
    <w:p w14:paraId="0682D7C1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Conduct a deeper investigation into the fiber customer journey.</w:t>
      </w:r>
    </w:p>
    <w:p w14:paraId="649BC5FA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Suggested Actions</w:t>
      </w:r>
    </w:p>
    <w:p w14:paraId="4706F0DF" w14:textId="5256A5F0" w:rsidR="0082362E" w:rsidRPr="00D32926" w:rsidRDefault="006C0929" w:rsidP="00D32926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lastRenderedPageBreak/>
        <w:t>Analyse</w:t>
      </w:r>
      <w:r w:rsidR="0082362E" w:rsidRPr="00D32926">
        <w:rPr>
          <w:rFonts w:ascii="Calibri" w:hAnsi="Calibri" w:cs="Calibri"/>
          <w:sz w:val="22"/>
          <w:szCs w:val="22"/>
        </w:rPr>
        <w:t xml:space="preserve"> service outage patterns </w:t>
      </w:r>
    </w:p>
    <w:p w14:paraId="705367D0" w14:textId="77777777" w:rsidR="0082362E" w:rsidRPr="00D32926" w:rsidRDefault="0082362E" w:rsidP="00D32926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Review pricing competitiveness </w:t>
      </w:r>
    </w:p>
    <w:p w14:paraId="4AC2775F" w14:textId="77777777" w:rsidR="0082362E" w:rsidRPr="00D32926" w:rsidRDefault="0082362E" w:rsidP="00D32926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Evaluate customer support interactions </w:t>
      </w:r>
    </w:p>
    <w:p w14:paraId="216A4511" w14:textId="77777777" w:rsidR="0082362E" w:rsidRPr="00D32926" w:rsidRDefault="0082362E" w:rsidP="00D32926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Collect targeted customer feedback </w:t>
      </w:r>
    </w:p>
    <w:p w14:paraId="04E85095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Improving the fiber experience could significantly reduce high-value customer churn.</w:t>
      </w:r>
    </w:p>
    <w:p w14:paraId="5F680878" w14:textId="22E411AF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3519C11B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6. Strengthen Retention Among New Customers</w:t>
      </w:r>
    </w:p>
    <w:p w14:paraId="3811F6A9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Customers in early tenure stages are especially vulnerable.</w:t>
      </w:r>
    </w:p>
    <w:p w14:paraId="243080AC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Suggested Actions</w:t>
      </w:r>
    </w:p>
    <w:p w14:paraId="73C500B3" w14:textId="77777777" w:rsidR="0082362E" w:rsidRPr="00D32926" w:rsidRDefault="0082362E" w:rsidP="00D32926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Launch first-90-day engagement programs </w:t>
      </w:r>
    </w:p>
    <w:p w14:paraId="67B8D866" w14:textId="77777777" w:rsidR="0082362E" w:rsidRPr="00D32926" w:rsidRDefault="0082362E" w:rsidP="00D32926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Offer welcome incentives </w:t>
      </w:r>
    </w:p>
    <w:p w14:paraId="3952A72F" w14:textId="77777777" w:rsidR="0082362E" w:rsidRPr="00D32926" w:rsidRDefault="0082362E" w:rsidP="00D32926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Provide educational resources </w:t>
      </w:r>
    </w:p>
    <w:p w14:paraId="32E47FA8" w14:textId="77777777" w:rsidR="0082362E" w:rsidRPr="00D32926" w:rsidRDefault="0082362E" w:rsidP="00D32926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Conduct satisfaction check-ins </w:t>
      </w:r>
    </w:p>
    <w:p w14:paraId="030211BF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Early engagement helps establish trust and service adoption.</w:t>
      </w:r>
    </w:p>
    <w:p w14:paraId="016F8B55" w14:textId="4E3AF85E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2F40DF2C" w14:textId="2945345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D32926">
        <w:rPr>
          <w:rFonts w:ascii="Calibri" w:hAnsi="Calibri" w:cs="Calibri"/>
          <w:b/>
          <w:bCs/>
          <w:sz w:val="22"/>
          <w:szCs w:val="22"/>
        </w:rPr>
        <w:t>C</w:t>
      </w:r>
      <w:r w:rsidR="00A20D7E">
        <w:rPr>
          <w:rFonts w:ascii="Calibri" w:hAnsi="Calibri" w:cs="Calibri"/>
          <w:b/>
          <w:bCs/>
          <w:sz w:val="22"/>
          <w:szCs w:val="22"/>
        </w:rPr>
        <w:t>ONCLUSION</w:t>
      </w:r>
    </w:p>
    <w:p w14:paraId="66BE7AA9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The analysis demonstrates that customer churn is heavily influenced by contract structure, pricing, payment methods, and service experience.</w:t>
      </w:r>
    </w:p>
    <w:p w14:paraId="347490BB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The most immediate opportunities for churn reduction include:</w:t>
      </w:r>
    </w:p>
    <w:p w14:paraId="76E1244E" w14:textId="77777777" w:rsidR="0082362E" w:rsidRPr="00D32926" w:rsidRDefault="0082362E" w:rsidP="00D32926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Migrating customers to long-term contracts </w:t>
      </w:r>
    </w:p>
    <w:p w14:paraId="363AC464" w14:textId="77777777" w:rsidR="0082362E" w:rsidRPr="00D32926" w:rsidRDefault="0082362E" w:rsidP="00D32926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Improving the fiber customer experience </w:t>
      </w:r>
    </w:p>
    <w:p w14:paraId="078CF424" w14:textId="77777777" w:rsidR="0082362E" w:rsidRPr="00D32926" w:rsidRDefault="0082362E" w:rsidP="00D32926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Reducing payment friction </w:t>
      </w:r>
    </w:p>
    <w:p w14:paraId="457ECB51" w14:textId="77777777" w:rsidR="0082362E" w:rsidRPr="00D32926" w:rsidRDefault="0082362E" w:rsidP="00D32926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 xml:space="preserve">Strengthening onboarding and early customer engagement </w:t>
      </w:r>
    </w:p>
    <w:p w14:paraId="2C4AABC8" w14:textId="77777777" w:rsidR="0082362E" w:rsidRPr="00D32926" w:rsidRDefault="0082362E" w:rsidP="00D32926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  <w:r w:rsidRPr="00D32926">
        <w:rPr>
          <w:rFonts w:ascii="Calibri" w:hAnsi="Calibri" w:cs="Calibri"/>
          <w:sz w:val="22"/>
          <w:szCs w:val="22"/>
        </w:rPr>
        <w:t>By implementing targeted retention initiatives and leveraging predictive analytics, the business can reduce churn, improve customer lifetime value, and stabilize recurring revenue growth.</w:t>
      </w:r>
    </w:p>
    <w:p w14:paraId="6C6107E1" w14:textId="77777777" w:rsidR="005E2289" w:rsidRDefault="005E2289" w:rsidP="004712F1">
      <w:pPr>
        <w:ind w:left="360"/>
      </w:pPr>
    </w:p>
    <w:p w14:paraId="3EBA3B2A" w14:textId="77777777" w:rsidR="00B40D5D" w:rsidRDefault="00B40D5D" w:rsidP="00B40D5D"/>
    <w:p w14:paraId="54626C0E" w14:textId="45B27652" w:rsidR="00D97F77" w:rsidRDefault="00D97F77" w:rsidP="001B4918"/>
    <w:p w14:paraId="1108A789" w14:textId="77777777" w:rsidR="00BA0CA0" w:rsidRDefault="00BA0CA0" w:rsidP="00BA0CA0"/>
    <w:p w14:paraId="242EAF62" w14:textId="09D11B4C" w:rsidR="00590F50" w:rsidRDefault="00590F50" w:rsidP="00BA0CA0"/>
    <w:sectPr w:rsidR="00590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E53"/>
    <w:multiLevelType w:val="multilevel"/>
    <w:tmpl w:val="D87E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B68AD"/>
    <w:multiLevelType w:val="multilevel"/>
    <w:tmpl w:val="21F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71C4B"/>
    <w:multiLevelType w:val="multilevel"/>
    <w:tmpl w:val="334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04A9E"/>
    <w:multiLevelType w:val="multilevel"/>
    <w:tmpl w:val="8D8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A10FC"/>
    <w:multiLevelType w:val="multilevel"/>
    <w:tmpl w:val="A6A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313F"/>
    <w:multiLevelType w:val="hybridMultilevel"/>
    <w:tmpl w:val="9544DC60"/>
    <w:lvl w:ilvl="0" w:tplc="71AA22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819BC"/>
    <w:multiLevelType w:val="multilevel"/>
    <w:tmpl w:val="ECA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070DE"/>
    <w:multiLevelType w:val="multilevel"/>
    <w:tmpl w:val="9B6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C5E14"/>
    <w:multiLevelType w:val="multilevel"/>
    <w:tmpl w:val="F0C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85244"/>
    <w:multiLevelType w:val="multilevel"/>
    <w:tmpl w:val="70B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F1DAE"/>
    <w:multiLevelType w:val="multilevel"/>
    <w:tmpl w:val="9C7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A1A91"/>
    <w:multiLevelType w:val="multilevel"/>
    <w:tmpl w:val="D03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62CA4"/>
    <w:multiLevelType w:val="multilevel"/>
    <w:tmpl w:val="B89C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652827"/>
    <w:multiLevelType w:val="multilevel"/>
    <w:tmpl w:val="223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B715D"/>
    <w:multiLevelType w:val="multilevel"/>
    <w:tmpl w:val="9D2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F1645"/>
    <w:multiLevelType w:val="hybridMultilevel"/>
    <w:tmpl w:val="D55236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933980">
    <w:abstractNumId w:val="5"/>
  </w:num>
  <w:num w:numId="2" w16cid:durableId="1392457200">
    <w:abstractNumId w:val="15"/>
  </w:num>
  <w:num w:numId="3" w16cid:durableId="1972131070">
    <w:abstractNumId w:val="11"/>
  </w:num>
  <w:num w:numId="4" w16cid:durableId="7487954">
    <w:abstractNumId w:val="8"/>
  </w:num>
  <w:num w:numId="5" w16cid:durableId="1741248856">
    <w:abstractNumId w:val="10"/>
  </w:num>
  <w:num w:numId="6" w16cid:durableId="823665682">
    <w:abstractNumId w:val="7"/>
  </w:num>
  <w:num w:numId="7" w16cid:durableId="1914000019">
    <w:abstractNumId w:val="1"/>
  </w:num>
  <w:num w:numId="8" w16cid:durableId="1673220397">
    <w:abstractNumId w:val="2"/>
  </w:num>
  <w:num w:numId="9" w16cid:durableId="2113744057">
    <w:abstractNumId w:val="13"/>
  </w:num>
  <w:num w:numId="10" w16cid:durableId="1003553562">
    <w:abstractNumId w:val="14"/>
  </w:num>
  <w:num w:numId="11" w16cid:durableId="592594828">
    <w:abstractNumId w:val="4"/>
  </w:num>
  <w:num w:numId="12" w16cid:durableId="299189020">
    <w:abstractNumId w:val="0"/>
  </w:num>
  <w:num w:numId="13" w16cid:durableId="1778016797">
    <w:abstractNumId w:val="9"/>
  </w:num>
  <w:num w:numId="14" w16cid:durableId="1998610826">
    <w:abstractNumId w:val="6"/>
  </w:num>
  <w:num w:numId="15" w16cid:durableId="791485210">
    <w:abstractNumId w:val="3"/>
  </w:num>
  <w:num w:numId="16" w16cid:durableId="631788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EA"/>
    <w:rsid w:val="0009118C"/>
    <w:rsid w:val="000D6DB8"/>
    <w:rsid w:val="001142D1"/>
    <w:rsid w:val="00125446"/>
    <w:rsid w:val="00151402"/>
    <w:rsid w:val="001B4918"/>
    <w:rsid w:val="001D40D1"/>
    <w:rsid w:val="0022575D"/>
    <w:rsid w:val="00246634"/>
    <w:rsid w:val="0025721E"/>
    <w:rsid w:val="00356D5F"/>
    <w:rsid w:val="00396262"/>
    <w:rsid w:val="00397031"/>
    <w:rsid w:val="003A3371"/>
    <w:rsid w:val="003A451B"/>
    <w:rsid w:val="003B679B"/>
    <w:rsid w:val="003F5320"/>
    <w:rsid w:val="004148F7"/>
    <w:rsid w:val="004712F1"/>
    <w:rsid w:val="00492BAD"/>
    <w:rsid w:val="004B4ACF"/>
    <w:rsid w:val="00590F50"/>
    <w:rsid w:val="005A2064"/>
    <w:rsid w:val="005A4924"/>
    <w:rsid w:val="005E2289"/>
    <w:rsid w:val="006361C9"/>
    <w:rsid w:val="0064008F"/>
    <w:rsid w:val="00641412"/>
    <w:rsid w:val="00671D5E"/>
    <w:rsid w:val="006952CF"/>
    <w:rsid w:val="006C0929"/>
    <w:rsid w:val="006C4758"/>
    <w:rsid w:val="0071454A"/>
    <w:rsid w:val="007E6743"/>
    <w:rsid w:val="0082362E"/>
    <w:rsid w:val="00825513"/>
    <w:rsid w:val="00837A97"/>
    <w:rsid w:val="00841CD6"/>
    <w:rsid w:val="008758BF"/>
    <w:rsid w:val="008A4793"/>
    <w:rsid w:val="008B09B2"/>
    <w:rsid w:val="008F1279"/>
    <w:rsid w:val="009434E4"/>
    <w:rsid w:val="00950693"/>
    <w:rsid w:val="00983B4B"/>
    <w:rsid w:val="00991542"/>
    <w:rsid w:val="009A2B7E"/>
    <w:rsid w:val="009D2541"/>
    <w:rsid w:val="00A20D7E"/>
    <w:rsid w:val="00A35373"/>
    <w:rsid w:val="00A7715C"/>
    <w:rsid w:val="00AC00E4"/>
    <w:rsid w:val="00B22E80"/>
    <w:rsid w:val="00B26891"/>
    <w:rsid w:val="00B40D5D"/>
    <w:rsid w:val="00BA0CA0"/>
    <w:rsid w:val="00BF61A8"/>
    <w:rsid w:val="00C3171C"/>
    <w:rsid w:val="00C81A08"/>
    <w:rsid w:val="00C87E0E"/>
    <w:rsid w:val="00CF1B1D"/>
    <w:rsid w:val="00D32926"/>
    <w:rsid w:val="00D62055"/>
    <w:rsid w:val="00D97F77"/>
    <w:rsid w:val="00DB4045"/>
    <w:rsid w:val="00DD60A6"/>
    <w:rsid w:val="00DE4625"/>
    <w:rsid w:val="00E07D20"/>
    <w:rsid w:val="00E34588"/>
    <w:rsid w:val="00E579E9"/>
    <w:rsid w:val="00EE1786"/>
    <w:rsid w:val="00F254EA"/>
    <w:rsid w:val="00F8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C407C"/>
  <w15:chartTrackingRefBased/>
  <w15:docId w15:val="{AD9AD2EF-DB8C-4359-B933-757ADDE0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2E710A5D5927958/Documents/WA_Fn-UseC_-Telco-Customer-Chur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[WA_Fn-UseC_-Telco-Customer-Churn.xlsx]Sheet2!PivotTable1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Count</a:t>
            </a:r>
            <a:r>
              <a:rPr lang="en-US" b="1" baseline="0"/>
              <a:t> of Churn by Gender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4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Sheet2!$A$2:$A$4</c:f>
              <c:strCache>
                <c:ptCount val="2"/>
                <c:pt idx="0">
                  <c:v>Female</c:v>
                </c:pt>
                <c:pt idx="1">
                  <c:v>Male</c:v>
                </c:pt>
              </c:strCache>
            </c:strRef>
          </c:cat>
          <c:val>
            <c:numRef>
              <c:f>Sheet2!$B$2:$B$4</c:f>
              <c:numCache>
                <c:formatCode>General</c:formatCode>
                <c:ptCount val="2"/>
                <c:pt idx="0">
                  <c:v>3488</c:v>
                </c:pt>
                <c:pt idx="1">
                  <c:v>3555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6A3-4897-B960-689A36A9284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74555984"/>
        <c:axId val="1074563184"/>
      </c:barChart>
      <c:catAx>
        <c:axId val="10745559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Gender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4563184"/>
        <c:crosses val="autoZero"/>
        <c:auto val="1"/>
        <c:lblAlgn val="ctr"/>
        <c:lblOffset val="100"/>
        <c:noMultiLvlLbl val="0"/>
      </c:catAx>
      <c:valAx>
        <c:axId val="107456318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ZA"/>
                  <a:t>Count</a:t>
                </a:r>
                <a:r>
                  <a:rPr lang="en-ZA" baseline="0"/>
                  <a:t> of Churn</a:t>
                </a:r>
                <a:endParaRPr lang="en-Z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ZA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45559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A0013-EE71-4522-9131-01823E53D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2401</TotalTime>
  <Pages>7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Mokoena</dc:creator>
  <cp:keywords/>
  <dc:description/>
  <cp:lastModifiedBy>Nathaniel Mokoena</cp:lastModifiedBy>
  <cp:revision>69</cp:revision>
  <dcterms:created xsi:type="dcterms:W3CDTF">2026-05-25T10:26:00Z</dcterms:created>
  <dcterms:modified xsi:type="dcterms:W3CDTF">2026-05-27T12:59:00Z</dcterms:modified>
</cp:coreProperties>
</file>