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tabs>
          <w:tab w:val="left" w:pos="180"/>
        </w:tabs>
      </w:pPr>
      <w:r>
        <w:t xml:space="preserve">Manuscript prepared October 3, 2026.</w:t>
      </w:r>
    </w:p>
    <w:p>
      <w:pPr>
        <w:pStyle w:val="PaperTitle"/>
      </w:pPr>
      <w:r>
        <w:t xml:space="preserve">Safe Reinforcement-Learning-Based Tuning of PID and Sliding-Mode Controllers for a DC–DC Boost Converter</w:t>
      </w:r>
    </w:p>
    <w:p>
      <w:pPr>
        <w:pStyle w:val="AU"/>
        <w:spacing w:after="0"/>
      </w:pPr>
      <w:r>
        <w:t>Reththika Murugadasan</w:t>
      </w:r>
      <w:r>
        <w:rPr>
          <w:vertAlign w:val="superscript"/>
        </w:rPr>
        <w:t>1</w:t>
      </w:r>
    </w:p>
    <w:p>
      <w:pPr>
        <w:pStyle w:val="PI"/>
        <w:spacing w:after="0"/>
        <w:ind w:right="1598" w:firstLine="0"/>
        <w:rPr>
          <w:sz w:val="14"/>
          <w:szCs w:val="14"/>
        </w:rPr>
      </w:pPr>
      <w:r>
        <w:rPr>
          <w:sz w:val="14"/>
          <w:szCs w:val="14"/>
          <w:vertAlign w:val="superscript"/>
        </w:rPr>
        <w:t>1</w:t>
      </w:r>
      <w:r>
        <w:rPr>
          <w:sz w:val="14"/>
          <w:szCs w:val="14"/>
        </w:rPr>
        <w:t>Control Systems course project [department and institution to be completed by the author]</w:t>
      </w:r>
    </w:p>
    <w:p>
      <w:pPr>
        <w:pStyle w:val="PI"/>
        <w:spacing w:before="100" w:after="100"/>
        <w:ind w:right="1598" w:firstLine="0"/>
      </w:pPr>
      <w:r>
        <w:t xml:space="preserve">Corresponding author: Reththika Murugadasan (e-mail: reththika@gmail.com).</w:t>
      </w:r>
    </w:p>
    <w:p>
      <w:pPr>
        <w:pStyle w:val="FootnoteText"/>
        <w:spacing w:after="540"/>
        <w:ind w:firstLine="0"/>
      </w:pPr>
      <w:r>
        <w:t xml:space="preserve">This paper reports a course project. The source code, trained models and all result files are in the accompanying project folder (adaptive_dc_dc_rl).</w:t>
      </w:r>
    </w:p>
    <w:p>
      <w:pPr>
        <w:pStyle w:val="Abstract"/>
      </w:pPr>
      <w:r>
        <w:rPr>
          <w:rStyle w:val="H5CharChar"/>
        </w:rPr>
        <w:t>ABSTRACT</w:t>
      </w:r>
      <w:r>
        <w:t xml:space="preserve"> </w:t>
      </w:r>
      <w:r>
        <w:t xml:space="preserve">Regulating the output voltage of a boost converter is difficult because the plant is lightly damped, non-minimum phase and exposed to input-voltage and load disturbances. This paper studies, in simulation, whether reinforcement learning can improve two classical controllers, a PID controller and a sliding-mode controller, without compromising safety. A cycle-averaged converter model with continuous and discontinuous conduction is validated against a switch-level simulation (0.013 V RMS error). Both baselines are tuned systematically, and it is shown that the textbook voltage-based sliding surface fails on this plant whereas a surface on the inductor current regulates the output. Three Twin Delayed DDPG (TD3) controllers are compared with the baselines: a direct duty-cycle policy and two adaptive controllers that only tune PID gains or sliding-mode parameters inside stability-checked bounds, with rate limiting and a baseline-recovery supervisor. All five controllers are evaluated on five identical scenarios, with three training seeds for each learning controller. No controller is best on every metric. Direct TD3 gives the smallest mean peak deviation after all four disturbances, but it moves the duty cycle 25 to 70 times more than the baselines, shows intermittent duty-cycle oscillations and varies strongly across seeds. The supervised adaptive controllers stay within a few percent of their baselines, and no evaluated run triggered a protection limit. The results show both the potential and the limits of learning-based tuning.</w:t>
      </w:r>
    </w:p>
    <w:p>
      <w:pPr>
        <w:pStyle w:val="IT"/>
      </w:pPr>
      <w:r>
        <w:rPr>
          <w:rStyle w:val="H5CharChar"/>
        </w:rPr>
        <w:t>INDEX TERMS</w:t>
      </w:r>
      <w:r>
        <w:t xml:space="preserve"> </w:t>
      </w:r>
      <w:r>
        <w:t xml:space="preserve">Boost converter, DC–DC power conversion, PID control, reinforcement learning, sliding-mode control, TD3.</w:t>
      </w:r>
    </w:p>
    <w:p>
      <w:pPr>
        <w:pStyle w:val="IT"/>
        <w:sectPr>
          <w:headerReference w:type="default" r:id="rId9"/>
          <w:footerReference w:type="default" r:id="rId10"/>
          <w:pgSz w:w="11520" w:h="15660" w:code="1"/>
          <w:pgMar w:top="1280" w:right="740" w:bottom="1040" w:left="740" w:header="360" w:footer="640" w:gutter="0"/>
          <w:cols w:space="720"/>
          <w:docGrid w:linePitch="360"/>
        </w:sectPr>
      </w:pPr>
    </w:p>
    <w:p>
      <w:pPr>
        <w:pStyle w:val="H1ListNoSpace"/>
      </w:pPr>
      <w:r>
        <w:t xml:space="preserve">INTRODUCTION</w:t>
      </w:r>
    </w:p>
    <w:p>
      <w:pPr>
        <w:pStyle w:val="PARA"/>
      </w:pPr>
      <w:r>
        <w:t xml:space="preserve">DC–DC boost converters raise a source voltage to a higher regulated level and are used in battery, photovoltaic and automotive power systems [1]. Regulating the output is challenging. The averaged plant is a lightly damped second-order system with a right-half-plane (RHP) zero, so a duty-cycle increase first lowers the output voltage [1], [6], and both the input voltage and the load change in operation. PID control [2] and sliding-mode control (SMC) [3]–[5] are the usual solutions, but their fixed parameters are tuned for one nominal point.</w:t>
      </w:r>
    </w:p>
    <w:p>
      <w:pPr>
        <w:pStyle w:val="PARAIndent"/>
      </w:pPr>
      <w:r>
        <w:t xml:space="preserve">Deep reinforcement learning (RL) [7]–[9] can learn control policies from interaction. This raises two questions: can RL improve classical controllers, and can it do so without endangering the converter? This paper investigates both in simulation. Its contributions are: (i) a validated converter simulator with explicit continuous (CCM) and discontinuous (DCM) conduction handling (Section II); (ii) two systematically tuned baselines, including a demonstration that the textbook voltage-based sliding surface fails on this non-minimum-phase plant (Section III); (iii) three TD3-based controllers, one acting directly on the duty cycle and two that adapt PID gains or SMC parameters inside stability-checked bounds, with smoothing and a baseline-recovery supervisor (Sections IV and V); and (iv) a multi-seed comparison on identical scenarios that reports every metric without ranking (Sections VI and VII).</w:t>
      </w:r>
    </w:p>
    <w:p>
      <w:pPr>
        <w:pStyle w:val="PARAIndent"/>
      </w:pPr>
      <w:r>
        <w:t xml:space="preserve">The study is limited to an ideal averaged model and a single circuit. Section VIII states what this does and does not establish.</w:t>
      </w:r>
    </w:p>
    <w:p>
      <w:pPr>
        <w:pStyle w:val="H1ListSpace"/>
      </w:pPr>
      <w:r>
        <w:t xml:space="preserve">CONVERTER MODEL</w:t>
      </w:r>
    </w:p>
    <w:p>
      <w:pPr>
        <w:pStyle w:val="H2Cont"/>
        <w:numPr>
          <w:ilvl w:val="0"/>
          <w:numId w:val="102"/>
        </w:numPr>
      </w:pPr>
      <w:r>
        <w:t xml:space="preserve">AVERAGED MODEL</w:t>
      </w:r>
    </w:p>
    <w:p>
      <w:pPr>
        <w:pStyle w:val="PARA"/>
      </w:pPr>
      <w:r>
        <w:t xml:space="preserve">The converter is a boost stage with input voltage </w:t>
      </w:r>
      <w:r>
        <w:rPr>
          <w:i/>
        </w:rPr>
        <w:t xml:space="preserve">V</w:t>
      </w:r>
      <w:r>
        <w:rPr>
          <w:vertAlign w:val="subscript"/>
        </w:rPr>
        <w:t xml:space="preserve">in</w:t>
      </w:r>
      <w:r>
        <w:t xml:space="preserve">, inductance </w:t>
      </w:r>
      <w:r>
        <w:rPr>
          <w:i/>
        </w:rPr>
        <w:t xml:space="preserve">L</w:t>
      </w:r>
      <w:r>
        <w:t xml:space="preserve"> = 1 mH, output capacitance </w:t>
      </w:r>
      <w:r>
        <w:rPr>
          <w:i/>
        </w:rPr>
        <w:t xml:space="preserve">C</w:t>
      </w:r>
      <w:r>
        <w:t xml:space="preserve"> = 470 µF and load resistance </w:t>
      </w:r>
      <w:r>
        <w:rPr>
          <w:i/>
        </w:rPr>
        <w:t xml:space="preserve">R</w:t>
      </w:r>
      <w:r>
        <w:t xml:space="preserve"> = 20 Ω, switched at </w:t>
      </w:r>
      <w:r>
        <w:rPr>
          <w:i/>
        </w:rPr>
        <w:t xml:space="preserve">f</w:t>
      </w:r>
      <w:r>
        <w:rPr>
          <w:vertAlign w:val="subscript"/>
        </w:rPr>
        <w:t xml:space="preserve">sw</w:t>
      </w:r>
      <w:r>
        <w:t xml:space="preserve"> = 20 kHz (</w:t>
      </w:r>
      <w:r>
        <w:rPr>
          <w:i/>
        </w:rPr>
        <w:t xml:space="preserve">T</w:t>
      </w:r>
      <w:r>
        <w:rPr>
          <w:vertAlign w:val="subscript"/>
        </w:rPr>
        <w:t xml:space="preserve">s</w:t>
      </w:r>
      <w:r>
        <w:t xml:space="preserve"> = 50 µs). The duty cycle </w:t>
      </w:r>
      <w:r>
        <w:rPr>
          <w:i/>
        </w:rPr>
        <w:t xml:space="preserve">D</w:t>
      </w:r>
      <w:r>
        <w:t xml:space="preserve">, limited to 0.05 ≤ </w:t>
      </w:r>
      <w:r>
        <w:rPr>
          <w:i/>
        </w:rPr>
        <w:t xml:space="preserve">D</w:t>
      </w:r>
      <w:r>
        <w:t xml:space="preserve"> ≤ 0.95, is the only control input. With inductor current </w:t>
      </w:r>
      <w:r>
        <w:rPr>
          <w:i/>
        </w:rPr>
        <w:t xml:space="preserve">i</w:t>
      </w:r>
      <w:r>
        <w:rPr>
          <w:vertAlign w:val="subscript"/>
        </w:rPr>
        <w:t xml:space="preserve">L</w:t>
      </w:r>
      <w:r>
        <w:t xml:space="preserve"> and output voltage </w:t>
      </w:r>
      <w:r>
        <w:rPr>
          <w:i/>
        </w:rPr>
        <w:t xml:space="preserve">v</w:t>
      </w:r>
      <w:r>
        <w:rPr>
          <w:vertAlign w:val="subscript"/>
        </w:rPr>
        <w:t xml:space="preserve">out</w:t>
      </w:r>
      <w:r>
        <w:t xml:space="preserve"> as states, the cycle-averaged CCM model is</w:t>
      </w:r>
    </w:p>
    <w:p>
      <w:pPr>
        <w:pStyle w:val="Equation"/>
        <w:tabs>
          <w:tab w:val="clear" w:pos="4584"/>
          <w:tab w:val="right" w:pos="4800"/>
        </w:tabs>
        <w:ind w:left="100"/>
      </w:pPr>
      <w:r>
        <w:rPr>
          <w:i/>
        </w:rPr>
        <w:t xml:space="preserve">di</w:t>
      </w:r>
      <w:r>
        <w:rPr>
          <w:i w:val="0"/>
          <w:vertAlign w:val="subscript"/>
        </w:rPr>
        <w:t xml:space="preserve">L</w:t>
      </w:r>
      <w:r>
        <w:rPr>
          <w:i w:val="0"/>
        </w:rPr>
        <w:t xml:space="preserve">/</w:t>
      </w:r>
      <w:r>
        <w:rPr>
          <w:i/>
        </w:rPr>
        <w:t xml:space="preserve">dt</w:t>
      </w:r>
      <w:r>
        <w:rPr>
          <w:i w:val="0"/>
        </w:rPr>
        <w:t xml:space="preserve"> = [</w:t>
      </w:r>
      <w:r>
        <w:rPr>
          <w:i/>
        </w:rPr>
        <w:t xml:space="preserve">V</w:t>
      </w:r>
      <w:r>
        <w:rPr>
          <w:i w:val="0"/>
          <w:vertAlign w:val="subscript"/>
        </w:rPr>
        <w:t xml:space="preserve">in</w:t>
      </w:r>
      <w:r>
        <w:rPr>
          <w:i w:val="0"/>
        </w:rPr>
        <w:t xml:space="preserve"> − (1 − </w:t>
      </w:r>
      <w:r>
        <w:rPr>
          <w:i/>
        </w:rPr>
        <w:t xml:space="preserve">D</w:t>
      </w:r>
      <w:r>
        <w:rPr>
          <w:i w:val="0"/>
        </w:rPr>
        <w:t xml:space="preserve">) </w:t>
      </w:r>
      <w:r>
        <w:rPr>
          <w:i/>
        </w:rPr>
        <w:t xml:space="preserve">v</w:t>
      </w:r>
      <w:r>
        <w:rPr>
          <w:i w:val="0"/>
          <w:vertAlign w:val="subscript"/>
        </w:rPr>
        <w:t xml:space="preserve">out</w:t>
      </w:r>
      <w:r>
        <w:rPr>
          <w:i w:val="0"/>
        </w:rPr>
        <w:t xml:space="preserve">] / </w:t>
      </w:r>
      <w:r>
        <w:rPr>
          <w:i/>
        </w:rPr>
        <w:t xml:space="preserve">L</w:t>
      </w:r>
      <w:r>
        <w:tab/>
      </w:r>
      <w:r>
        <w:rPr>
          <w:i w:val="0"/>
        </w:rPr>
        <w:t>(1)</w:t>
      </w:r>
    </w:p>
    <w:p>
      <w:pPr>
        <w:pStyle w:val="Equation"/>
        <w:tabs>
          <w:tab w:val="clear" w:pos="4584"/>
          <w:tab w:val="right" w:pos="4800"/>
        </w:tabs>
        <w:ind w:left="100"/>
      </w:pPr>
      <w:r>
        <w:rPr>
          <w:i/>
        </w:rPr>
        <w:t xml:space="preserve">dv</w:t>
      </w:r>
      <w:r>
        <w:rPr>
          <w:i w:val="0"/>
          <w:vertAlign w:val="subscript"/>
        </w:rPr>
        <w:t xml:space="preserve">out</w:t>
      </w:r>
      <w:r>
        <w:rPr>
          <w:i w:val="0"/>
        </w:rPr>
        <w:t xml:space="preserve">/</w:t>
      </w:r>
      <w:r>
        <w:rPr>
          <w:i/>
        </w:rPr>
        <w:t xml:space="preserve">dt</w:t>
      </w:r>
      <w:r>
        <w:rPr>
          <w:i w:val="0"/>
        </w:rPr>
        <w:t xml:space="preserve"> = [(1 − </w:t>
      </w:r>
      <w:r>
        <w:rPr>
          <w:i/>
        </w:rPr>
        <w:t xml:space="preserve">D</w:t>
      </w:r>
      <w:r>
        <w:rPr>
          <w:i w:val="0"/>
        </w:rPr>
        <w:t xml:space="preserve">) </w:t>
      </w:r>
      <w:r>
        <w:rPr>
          <w:i/>
        </w:rPr>
        <w:t xml:space="preserve">i</w:t>
      </w:r>
      <w:r>
        <w:rPr>
          <w:i w:val="0"/>
          <w:vertAlign w:val="subscript"/>
        </w:rPr>
        <w:t xml:space="preserve">L</w:t>
      </w:r>
      <w:r>
        <w:rPr>
          <w:i w:val="0"/>
        </w:rPr>
        <w:t xml:space="preserve"> − </w:t>
      </w:r>
      <w:r>
        <w:rPr>
          <w:i/>
        </w:rPr>
        <w:t xml:space="preserve">v</w:t>
      </w:r>
      <w:r>
        <w:rPr>
          <w:i w:val="0"/>
          <w:vertAlign w:val="subscript"/>
        </w:rPr>
        <w:t xml:space="preserve">out</w:t>
      </w:r>
      <w:r>
        <w:rPr>
          <w:i w:val="0"/>
        </w:rPr>
        <w:t xml:space="preserve">/</w:t>
      </w:r>
      <w:r>
        <w:rPr>
          <w:i/>
        </w:rPr>
        <w:t xml:space="preserve">R</w:t>
      </w:r>
      <w:r>
        <w:rPr>
          <w:i w:val="0"/>
        </w:rPr>
        <w:t xml:space="preserve">] / </w:t>
      </w:r>
      <w:r>
        <w:rPr>
          <w:i/>
        </w:rPr>
        <w:t xml:space="preserve">C</w:t>
      </w:r>
      <w:r>
        <w:tab/>
      </w:r>
      <w:r>
        <w:rPr>
          <w:i w:val="0"/>
        </w:rPr>
        <w:t>(2)</w:t>
      </w:r>
    </w:p>
    <w:p>
      <w:pPr>
        <w:pStyle w:val="PARA"/>
      </w:pPr>
      <w:r>
        <w:t xml:space="preserve">For </w:t>
      </w:r>
      <w:r>
        <w:rPr>
          <w:i/>
        </w:rPr>
        <w:t xml:space="preserve">D</w:t>
      </w:r>
      <w:r>
        <w:t xml:space="preserve"> = 0.5 and </w:t>
      </w:r>
      <w:r>
        <w:rPr>
          <w:i/>
        </w:rPr>
        <w:t xml:space="preserve">V</w:t>
      </w:r>
      <w:r>
        <w:rPr>
          <w:vertAlign w:val="subscript"/>
        </w:rPr>
        <w:t xml:space="preserve">in</w:t>
      </w:r>
      <w:r>
        <w:t xml:space="preserve"> = 12 V, </w:t>
      </w:r>
      <w:r>
        <w:rPr>
          <w:i/>
        </w:rPr>
        <w:t xml:space="preserve">v</w:t>
      </w:r>
      <w:r>
        <w:rPr>
          <w:vertAlign w:val="subscript"/>
        </w:rPr>
        <w:t xml:space="preserve">out</w:t>
      </w:r>
      <w:r>
        <w:t xml:space="preserve"> = </w:t>
      </w:r>
      <w:r>
        <w:rPr>
          <w:i/>
        </w:rPr>
        <w:t xml:space="preserve">V</w:t>
      </w:r>
      <w:r>
        <w:rPr>
          <w:vertAlign w:val="subscript"/>
        </w:rPr>
        <w:t xml:space="preserve">in</w:t>
      </w:r>
      <w:r>
        <w:t xml:space="preserve">/(1 − </w:t>
      </w:r>
      <w:r>
        <w:rPr>
          <w:i/>
        </w:rPr>
        <w:t xml:space="preserve">D</w:t>
      </w:r>
      <w:r>
        <w:t xml:space="preserve">) = 24 V and </w:t>
      </w:r>
      <w:r>
        <w:rPr>
          <w:i/>
        </w:rPr>
        <w:t xml:space="preserve">i</w:t>
      </w:r>
      <w:r>
        <w:rPr>
          <w:vertAlign w:val="subscript"/>
        </w:rPr>
        <w:t xml:space="preserve">L</w:t>
      </w:r>
      <w:r>
        <w:t xml:space="preserve"> = 2.4 A. For a held duty cycle, (1) and (2) are linear, so each step of </w:t>
      </w:r>
      <w:r>
        <w:rPr>
          <w:i/>
        </w:rPr>
        <w:t xml:space="preserve">T</w:t>
      </w:r>
      <w:r>
        <w:rPr>
          <w:vertAlign w:val="subscript"/>
        </w:rPr>
        <w:t xml:space="preserve">s</w:t>
      </w:r>
      <w:r>
        <w:t xml:space="preserve"> is integrated exactly with the matrix exponential of the augmented system matrix, which removes truncation error and step-size instability. The plant has a lightly damped resonance (damping ratio about 0.07 at </w:t>
      </w:r>
      <w:r>
        <w:rPr>
          <w:i/>
        </w:rPr>
        <w:t xml:space="preserve">D</w:t>
      </w:r>
      <w:r>
        <w:t xml:space="preserve"> = 0.5) and an RHP zero at </w:t>
      </w:r>
      <w:r>
        <w:rPr>
          <w:i/>
        </w:rPr>
        <w:t xml:space="preserve">R</w:t>
      </w:r>
      <w:r>
        <w:t xml:space="preserve">(1 − </w:t>
      </w:r>
      <w:r>
        <w:rPr>
          <w:i/>
        </w:rPr>
        <w:t xml:space="preserve">D</w:t>
      </w:r>
      <w:r>
        <w:t xml:space="preserve">)</w:t>
      </w:r>
      <w:r>
        <w:rPr>
          <w:vertAlign w:val="superscript"/>
        </w:rPr>
        <w:t xml:space="preserve">2</w:t>
      </w:r>
      <w:r>
        <w:t xml:space="preserve">/</w:t>
      </w:r>
      <w:r>
        <w:rPr>
          <w:i/>
        </w:rPr>
        <w:t xml:space="preserve">L</w:t>
      </w:r>
      <w:r>
        <w:t xml:space="preserve"> ≈ 5000 rad/s [1], [6].</w:t>
      </w:r>
    </w:p>
    <w:p>
      <w:pPr>
        <w:pStyle w:val="H2Cont"/>
        <w:numPr>
          <w:ilvl w:val="0"/>
          <w:numId w:val="102"/>
        </w:numPr>
      </w:pPr>
      <w:r>
        <w:t xml:space="preserve">DISCONTINUOUS CONDUCTION</w:t>
      </w:r>
    </w:p>
    <w:p>
      <w:pPr>
        <w:pStyle w:val="PARA"/>
      </w:pPr>
      <w:r>
        <w:t xml:space="preserve">A first implementation using only (1) and (2) let the inductor current become negative (down to −4.26 A during start-up), which is impossible with a diode. The model therefore switches to DCM when </w:t>
      </w:r>
      <w:r>
        <w:rPr>
          <w:i/>
        </w:rPr>
        <w:t xml:space="preserve">v</w:t>
      </w:r>
      <w:r>
        <w:rPr>
          <w:vertAlign w:val="subscript"/>
        </w:rPr>
        <w:t xml:space="preserve">out</w:t>
      </w:r>
      <w:r>
        <w:t xml:space="preserve"> &gt; </w:t>
      </w:r>
      <w:r>
        <w:rPr>
          <w:i/>
        </w:rPr>
        <w:t xml:space="preserve">V</w:t>
      </w:r>
      <w:r>
        <w:rPr>
          <w:vertAlign w:val="subscript"/>
        </w:rPr>
        <w:t xml:space="preserve">in</w:t>
      </w:r>
      <w:r>
        <w:t xml:space="preserve">/(1 − </w:t>
      </w:r>
      <w:r>
        <w:rPr>
          <w:i/>
        </w:rPr>
        <w:t xml:space="preserve">D</w:t>
      </w:r>
      <w:r>
        <w:t xml:space="preserve">) and the average current is below half the ripple, </w:t>
      </w:r>
      <w:r>
        <w:rPr>
          <w:i/>
        </w:rPr>
        <w:t xml:space="preserve">V</w:t>
      </w:r>
      <w:r>
        <w:rPr>
          <w:vertAlign w:val="subscript"/>
        </w:rPr>
        <w:t xml:space="preserve">in</w:t>
      </w:r>
      <w:r>
        <w:rPr>
          <w:i/>
        </w:rPr>
        <w:t xml:space="preserve">DT</w:t>
      </w:r>
      <w:r>
        <w:rPr>
          <w:vertAlign w:val="subscript"/>
        </w:rPr>
        <w:t xml:space="preserve">s</w:t>
      </w:r>
      <w:r>
        <w:t xml:space="preserve">/(2</w:t>
      </w:r>
      <w:r>
        <w:rPr>
          <w:i/>
        </w:rPr>
        <w:t xml:space="preserve">L</w:t>
      </w:r>
      <w:r>
        <w:t xml:space="preserve">). In DCM the inductor current is algebraic,</w:t>
      </w:r>
    </w:p>
    <w:p>
      <w:pPr>
        <w:pStyle w:val="Equation"/>
        <w:tabs>
          <w:tab w:val="clear" w:pos="4584"/>
          <w:tab w:val="right" w:pos="4800"/>
        </w:tabs>
        <w:ind w:left="100"/>
      </w:pPr>
      <w:r>
        <w:rPr>
          <w:i/>
        </w:rPr>
        <w:t xml:space="preserve">i</w:t>
      </w:r>
      <w:r>
        <w:rPr>
          <w:i w:val="0"/>
          <w:vertAlign w:val="subscript"/>
        </w:rPr>
        <w:t xml:space="preserve">L</w:t>
      </w:r>
      <w:r>
        <w:rPr>
          <w:i w:val="0"/>
        </w:rPr>
        <w:t xml:space="preserve"> = </w:t>
      </w:r>
      <w:r>
        <w:rPr>
          <w:i/>
        </w:rPr>
        <w:t xml:space="preserve">V</w:t>
      </w:r>
      <w:r>
        <w:rPr>
          <w:i w:val="0"/>
          <w:vertAlign w:val="subscript"/>
        </w:rPr>
        <w:t xml:space="preserve">in</w:t>
      </w:r>
      <w:r>
        <w:rPr>
          <w:i w:val="0"/>
        </w:rPr>
        <w:t xml:space="preserve"> </w:t>
      </w:r>
      <w:r>
        <w:rPr>
          <w:i/>
        </w:rPr>
        <w:t xml:space="preserve">D</w:t>
      </w:r>
      <w:r>
        <w:rPr>
          <w:i w:val="0"/>
          <w:vertAlign w:val="superscript"/>
        </w:rPr>
        <w:t xml:space="preserve">2</w:t>
      </w:r>
      <w:r>
        <w:rPr>
          <w:i w:val="0"/>
        </w:rPr>
        <w:t xml:space="preserve"> </w:t>
      </w:r>
      <w:r>
        <w:rPr>
          <w:i/>
        </w:rPr>
        <w:t xml:space="preserve">T</w:t>
      </w:r>
      <w:r>
        <w:rPr>
          <w:i w:val="0"/>
          <w:vertAlign w:val="subscript"/>
        </w:rPr>
        <w:t xml:space="preserve">s</w:t>
      </w:r>
      <w:r>
        <w:rPr>
          <w:i w:val="0"/>
        </w:rPr>
        <w:t xml:space="preserve"> </w:t>
      </w:r>
      <w:r>
        <w:rPr>
          <w:i/>
        </w:rPr>
        <w:t xml:space="preserve">v</w:t>
      </w:r>
      <w:r>
        <w:rPr>
          <w:i w:val="0"/>
          <w:vertAlign w:val="subscript"/>
        </w:rPr>
        <w:t xml:space="preserve">out</w:t>
      </w:r>
      <w:r>
        <w:rPr>
          <w:i w:val="0"/>
        </w:rPr>
        <w:t xml:space="preserve"> / [2</w:t>
      </w:r>
      <w:r>
        <w:rPr>
          <w:i/>
        </w:rPr>
        <w:t xml:space="preserve">L</w:t>
      </w:r>
      <w:r>
        <w:rPr>
          <w:i w:val="0"/>
        </w:rPr>
        <w:t xml:space="preserve">(</w:t>
      </w:r>
      <w:r>
        <w:rPr>
          <w:i/>
        </w:rPr>
        <w:t xml:space="preserve">v</w:t>
      </w:r>
      <w:r>
        <w:rPr>
          <w:i w:val="0"/>
          <w:vertAlign w:val="subscript"/>
        </w:rPr>
        <w:t xml:space="preserve">out</w:t>
      </w:r>
      <w:r>
        <w:rPr>
          <w:i w:val="0"/>
        </w:rPr>
        <w:t xml:space="preserve"> − </w:t>
      </w:r>
      <w:r>
        <w:rPr>
          <w:i/>
        </w:rPr>
        <w:t xml:space="preserve">V</w:t>
      </w:r>
      <w:r>
        <w:rPr>
          <w:i w:val="0"/>
          <w:vertAlign w:val="subscript"/>
        </w:rPr>
        <w:t xml:space="preserve">in</w:t>
      </w:r>
      <w:r>
        <w:rPr>
          <w:i w:val="0"/>
        </w:rPr>
        <w:t xml:space="preserve">)]</w:t>
      </w:r>
      <w:r>
        <w:tab/>
      </w:r>
      <w:r>
        <w:rPr>
          <w:i w:val="0"/>
        </w:rPr>
        <w:t>(3)</w:t>
      </w:r>
    </w:p>
    <w:p>
      <w:pPr>
        <w:pStyle w:val="PARA"/>
      </w:pPr>
      <w:r>
        <w:t xml:space="preserve">and only </w:t>
      </w:r>
      <w:r>
        <w:rPr>
          <w:i/>
        </w:rPr>
        <w:t xml:space="preserve">v</w:t>
      </w:r>
      <w:r>
        <w:rPr>
          <w:vertAlign w:val="subscript"/>
        </w:rPr>
        <w:t xml:space="preserve">out</w:t>
      </w:r>
      <w:r>
        <w:t xml:space="preserve"> is integrated (fourth-order Runge–Kutta), with</w:t>
      </w:r>
    </w:p>
    <w:p>
      <w:pPr>
        <w:pStyle w:val="Equation"/>
        <w:tabs>
          <w:tab w:val="clear" w:pos="4584"/>
          <w:tab w:val="right" w:pos="4800"/>
        </w:tabs>
        <w:ind w:left="100"/>
      </w:pPr>
      <w:r>
        <w:rPr>
          <w:i/>
        </w:rPr>
        <w:t xml:space="preserve">C</w:t>
      </w:r>
      <w:r>
        <w:rPr>
          <w:i w:val="0"/>
        </w:rPr>
        <w:t xml:space="preserve"> </w:t>
      </w:r>
      <w:r>
        <w:rPr>
          <w:i/>
        </w:rPr>
        <w:t xml:space="preserve">dv</w:t>
      </w:r>
      <w:r>
        <w:rPr>
          <w:i w:val="0"/>
          <w:vertAlign w:val="subscript"/>
        </w:rPr>
        <w:t xml:space="preserve">out</w:t>
      </w:r>
      <w:r>
        <w:rPr>
          <w:i w:val="0"/>
        </w:rPr>
        <w:t xml:space="preserve">/</w:t>
      </w:r>
      <w:r>
        <w:rPr>
          <w:i/>
        </w:rPr>
        <w:t xml:space="preserve">dt</w:t>
      </w:r>
      <w:r>
        <w:rPr>
          <w:i w:val="0"/>
        </w:rPr>
        <w:t xml:space="preserve"> = </w:t>
      </w:r>
      <w:r>
        <w:rPr>
          <w:i/>
        </w:rPr>
        <w:t xml:space="preserve">V</w:t>
      </w:r>
      <w:r>
        <w:rPr>
          <w:i w:val="0"/>
          <w:vertAlign w:val="subscript"/>
        </w:rPr>
        <w:t xml:space="preserve">in</w:t>
      </w:r>
      <w:r>
        <w:rPr>
          <w:i w:val="0"/>
          <w:vertAlign w:val="superscript"/>
        </w:rPr>
        <w:t xml:space="preserve">2</w:t>
      </w:r>
      <w:r>
        <w:rPr>
          <w:i w:val="0"/>
        </w:rPr>
        <w:t xml:space="preserve"> </w:t>
      </w:r>
      <w:r>
        <w:rPr>
          <w:i/>
        </w:rPr>
        <w:t xml:space="preserve">D</w:t>
      </w:r>
      <w:r>
        <w:rPr>
          <w:i w:val="0"/>
          <w:vertAlign w:val="superscript"/>
        </w:rPr>
        <w:t xml:space="preserve">2</w:t>
      </w:r>
      <w:r>
        <w:rPr>
          <w:i w:val="0"/>
        </w:rPr>
        <w:t xml:space="preserve"> </w:t>
      </w:r>
      <w:r>
        <w:rPr>
          <w:i/>
        </w:rPr>
        <w:t xml:space="preserve">T</w:t>
      </w:r>
      <w:r>
        <w:rPr>
          <w:i w:val="0"/>
          <w:vertAlign w:val="subscript"/>
        </w:rPr>
        <w:t xml:space="preserve">s</w:t>
      </w:r>
      <w:r>
        <w:rPr>
          <w:i w:val="0"/>
        </w:rPr>
        <w:t xml:space="preserve"> / [2</w:t>
      </w:r>
      <w:r>
        <w:rPr>
          <w:i/>
        </w:rPr>
        <w:t xml:space="preserve">L</w:t>
      </w:r>
      <w:r>
        <w:rPr>
          <w:i w:val="0"/>
        </w:rPr>
        <w:t xml:space="preserve">(</w:t>
      </w:r>
      <w:r>
        <w:rPr>
          <w:i/>
        </w:rPr>
        <w:t xml:space="preserve">v</w:t>
      </w:r>
      <w:r>
        <w:rPr>
          <w:i w:val="0"/>
          <w:vertAlign w:val="subscript"/>
        </w:rPr>
        <w:t xml:space="preserve">out</w:t>
      </w:r>
      <w:r>
        <w:rPr>
          <w:i w:val="0"/>
        </w:rPr>
        <w:t xml:space="preserve"> − </w:t>
      </w:r>
      <w:r>
        <w:rPr>
          <w:i/>
        </w:rPr>
        <w:t xml:space="preserve">V</w:t>
      </w:r>
      <w:r>
        <w:rPr>
          <w:i w:val="0"/>
          <w:vertAlign w:val="subscript"/>
        </w:rPr>
        <w:t xml:space="preserve">in</w:t>
      </w:r>
      <w:r>
        <w:rPr>
          <w:i w:val="0"/>
        </w:rPr>
        <w:t xml:space="preserve">)] − </w:t>
      </w:r>
      <w:r>
        <w:rPr>
          <w:i/>
        </w:rPr>
        <w:t xml:space="preserve">v</w:t>
      </w:r>
      <w:r>
        <w:rPr>
          <w:i w:val="0"/>
          <w:vertAlign w:val="subscript"/>
        </w:rPr>
        <w:t xml:space="preserve">out</w:t>
      </w:r>
      <w:r>
        <w:rPr>
          <w:i w:val="0"/>
        </w:rPr>
        <w:t xml:space="preserve">/</w:t>
      </w:r>
      <w:r>
        <w:rPr>
          <w:i/>
        </w:rPr>
        <w:t xml:space="preserve">R</w:t>
      </w:r>
      <w:r>
        <w:tab/>
      </w:r>
      <w:r>
        <w:rPr>
          <w:i w:val="0"/>
        </w:rPr>
        <w:t>(4)</w:t>
      </w:r>
    </w:p>
    <w:p>
      <w:pPr>
        <w:pStyle w:val="PARA"/>
      </w:pPr>
      <w:r>
        <w:t xml:space="preserve">Each control step is divided into five sub-steps so that a CCM/DCM transition inside a step is resolved. With </w:t>
      </w:r>
      <w:r>
        <w:rPr>
          <w:i/>
        </w:rPr>
        <w:t xml:space="preserve">R</w:t>
      </w:r>
      <w:r>
        <w:t xml:space="preserve"> between 10 and 30 Ω, </w:t>
      </w:r>
      <w:r>
        <w:rPr>
          <w:i/>
        </w:rPr>
        <w:t xml:space="preserve">K</w:t>
      </w:r>
      <w:r>
        <w:t xml:space="preserve"> = 2</w:t>
      </w:r>
      <w:r>
        <w:rPr>
          <w:i/>
        </w:rPr>
        <w:t xml:space="preserve">L</w:t>
      </w:r>
      <w:r>
        <w:t xml:space="preserve">/(</w:t>
      </w:r>
      <w:r>
        <w:rPr>
          <w:i/>
        </w:rPr>
        <w:t xml:space="preserve">RT</w:t>
      </w:r>
      <w:r>
        <w:rPr>
          <w:vertAlign w:val="subscript"/>
        </w:rPr>
        <w:t xml:space="preserve">s</w:t>
      </w:r>
      <w:r>
        <w:t xml:space="preserve">) ≥ 1.33 exceeds the largest critical value 4/27, so steady state is always CCM; DCM appears only in transients such as the cold start.</w:t>
      </w:r>
    </w:p>
    <w:p>
      <w:pPr>
        <w:pStyle w:val="H2Cont"/>
        <w:numPr>
          <w:ilvl w:val="0"/>
          <w:numId w:val="102"/>
        </w:numPr>
      </w:pPr>
      <w:r>
        <w:t xml:space="preserve">VALIDATION</w:t>
      </w:r>
    </w:p>
    <w:p>
      <w:pPr>
        <w:pStyle w:val="PARA"/>
      </w:pPr>
      <w:r>
        <w:t xml:space="preserve">The model was validated against theory and against an event-accurate switch-level simulation with an ideal switch and diode (Table I). Cycle-averaged transients match the switching reference with 0.013 V RMS voltage error and 0.009 A RMS current error. The large open-loop overshoot (33.6 V peak for </w:t>
      </w:r>
      <w:r>
        <w:rPr>
          <w:i/>
        </w:rPr>
        <w:t xml:space="preserve">D</w:t>
      </w:r>
      <w:r>
        <w:t xml:space="preserve"> = 0.5) is the lightly damped resonance of the lossless circuit, not a numerical artefact.</w:t>
      </w:r>
    </w:p>
    <w:p>
      <w:pPr>
        <w:pStyle w:val="TableTitle"/>
        <w:keepNext/>
        <w:spacing w:before="160"/>
      </w:pPr>
      <w:r>
        <w:t xml:space="preserve">TABLE I</w:t>
      </w:r>
    </w:p>
    <w:p>
      <w:pPr>
        <w:pStyle w:val="TableTitle"/>
        <w:keepNext/>
        <w:spacing w:after="60"/>
      </w:pPr>
      <w:r>
        <w:t xml:space="preserve">Simulator Validation</w:t>
      </w:r>
    </w:p>
    <w:tbl>
      <w:tblPr>
        <w:tblW w:w="470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2150"/>
        <w:gridCol w:w="1100"/>
        <w:gridCol w:w="1450"/>
      </w:tblGrid>
      <w:tr>
        <w:trPr>
          <w:cantSplit/>
          <w:tblHeader/>
        </w:trPr>
        <w:tc>
          <w:tcPr>
            <w:tcW w:w="215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Test</w:t>
            </w:r>
          </w:p>
        </w:tc>
        <w:tc>
          <w:tcPr>
            <w:tcW w:w="11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Model</w:t>
            </w:r>
          </w:p>
        </w:tc>
        <w:tc>
          <w:tcPr>
            <w:tcW w:w="145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Reference</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Steady state, </w:t>
            </w:r>
            <w:r>
              <w:rPr>
                <w:i/>
                <w:sz w:val="16"/>
                <w:szCs w:val="16"/>
              </w:rPr>
              <w:t xml:space="preserve">D</w:t>
            </w:r>
            <w:r>
              <w:rPr>
                <w:sz w:val="16"/>
                <w:szCs w:val="16"/>
              </w:rPr>
              <w:t xml:space="preserve"> = 0.3 (V)</w:t>
            </w:r>
          </w:p>
        </w:tc>
        <w:tc>
          <w:tcPr>
            <w:tcW w:w="1100" w:type="dxa"/>
            <w:tcBorders>
              <w:top w:val="nil"/>
              <w:left w:val="nil"/>
              <w:bottom w:val="nil"/>
              <w:right w:val="nil"/>
            </w:tcBorders>
            <w:vAlign w:val="center"/>
          </w:tcPr>
          <w:p>
            <w:pPr>
              <w:spacing w:before="20" w:after="20"/>
              <w:jc w:val="center"/>
            </w:pPr>
            <w:r>
              <w:rPr>
                <w:sz w:val="16"/>
                <w:szCs w:val="16"/>
              </w:rPr>
              <w:t xml:space="preserve">17.143</w:t>
            </w:r>
          </w:p>
        </w:tc>
        <w:tc>
          <w:tcPr>
            <w:tcW w:w="1450" w:type="dxa"/>
            <w:tcBorders>
              <w:top w:val="nil"/>
              <w:left w:val="nil"/>
              <w:bottom w:val="nil"/>
              <w:right w:val="nil"/>
            </w:tcBorders>
            <w:vAlign w:val="center"/>
          </w:tcPr>
          <w:p>
            <w:pPr>
              <w:spacing w:before="20" w:after="20"/>
              <w:jc w:val="center"/>
            </w:pPr>
            <w:r>
              <w:rPr>
                <w:sz w:val="16"/>
                <w:szCs w:val="16"/>
              </w:rPr>
              <w:t xml:space="preserve">17.143</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Steady state, </w:t>
            </w:r>
            <w:r>
              <w:rPr>
                <w:i/>
                <w:sz w:val="16"/>
                <w:szCs w:val="16"/>
              </w:rPr>
              <w:t xml:space="preserve">D</w:t>
            </w:r>
            <w:r>
              <w:rPr>
                <w:sz w:val="16"/>
                <w:szCs w:val="16"/>
              </w:rPr>
              <w:t xml:space="preserve"> = 0.5 (V)</w:t>
            </w:r>
          </w:p>
        </w:tc>
        <w:tc>
          <w:tcPr>
            <w:tcW w:w="1100" w:type="dxa"/>
            <w:tcBorders>
              <w:top w:val="nil"/>
              <w:left w:val="nil"/>
              <w:bottom w:val="nil"/>
              <w:right w:val="nil"/>
            </w:tcBorders>
            <w:vAlign w:val="center"/>
          </w:tcPr>
          <w:p>
            <w:pPr>
              <w:spacing w:before="20" w:after="20"/>
              <w:jc w:val="center"/>
            </w:pPr>
            <w:r>
              <w:rPr>
                <w:sz w:val="16"/>
                <w:szCs w:val="16"/>
              </w:rPr>
              <w:t xml:space="preserve">24.000</w:t>
            </w:r>
          </w:p>
        </w:tc>
        <w:tc>
          <w:tcPr>
            <w:tcW w:w="1450" w:type="dxa"/>
            <w:tcBorders>
              <w:top w:val="nil"/>
              <w:left w:val="nil"/>
              <w:bottom w:val="nil"/>
              <w:right w:val="nil"/>
            </w:tcBorders>
            <w:vAlign w:val="center"/>
          </w:tcPr>
          <w:p>
            <w:pPr>
              <w:spacing w:before="20" w:after="20"/>
              <w:jc w:val="center"/>
            </w:pPr>
            <w:r>
              <w:rPr>
                <w:sz w:val="16"/>
                <w:szCs w:val="16"/>
              </w:rPr>
              <w:t xml:space="preserve">24.000</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Steady state, </w:t>
            </w:r>
            <w:r>
              <w:rPr>
                <w:i/>
                <w:sz w:val="16"/>
                <w:szCs w:val="16"/>
              </w:rPr>
              <w:t xml:space="preserve">D</w:t>
            </w:r>
            <w:r>
              <w:rPr>
                <w:sz w:val="16"/>
                <w:szCs w:val="16"/>
              </w:rPr>
              <w:t xml:space="preserve"> = 0.6 (V)</w:t>
            </w:r>
          </w:p>
        </w:tc>
        <w:tc>
          <w:tcPr>
            <w:tcW w:w="1100" w:type="dxa"/>
            <w:tcBorders>
              <w:top w:val="nil"/>
              <w:left w:val="nil"/>
              <w:bottom w:val="nil"/>
              <w:right w:val="nil"/>
            </w:tcBorders>
            <w:vAlign w:val="center"/>
          </w:tcPr>
          <w:p>
            <w:pPr>
              <w:spacing w:before="20" w:after="20"/>
              <w:jc w:val="center"/>
            </w:pPr>
            <w:r>
              <w:rPr>
                <w:sz w:val="16"/>
                <w:szCs w:val="16"/>
              </w:rPr>
              <w:t xml:space="preserve">30.000</w:t>
            </w:r>
          </w:p>
        </w:tc>
        <w:tc>
          <w:tcPr>
            <w:tcW w:w="1450" w:type="dxa"/>
            <w:tcBorders>
              <w:top w:val="nil"/>
              <w:left w:val="nil"/>
              <w:bottom w:val="nil"/>
              <w:right w:val="nil"/>
            </w:tcBorders>
            <w:vAlign w:val="center"/>
          </w:tcPr>
          <w:p>
            <w:pPr>
              <w:spacing w:before="20" w:after="20"/>
              <w:jc w:val="center"/>
            </w:pPr>
            <w:r>
              <w:rPr>
                <w:sz w:val="16"/>
                <w:szCs w:val="16"/>
              </w:rPr>
              <w:t xml:space="preserve">30.000</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Transient RMS error (V)</w:t>
            </w:r>
          </w:p>
        </w:tc>
        <w:tc>
          <w:tcPr>
            <w:tcW w:w="1100" w:type="dxa"/>
            <w:tcBorders>
              <w:top w:val="nil"/>
              <w:left w:val="nil"/>
              <w:bottom w:val="nil"/>
              <w:right w:val="nil"/>
            </w:tcBorders>
            <w:vAlign w:val="center"/>
          </w:tcPr>
          <w:p>
            <w:pPr>
              <w:spacing w:before="20" w:after="20"/>
              <w:jc w:val="center"/>
            </w:pPr>
            <w:r>
              <w:rPr>
                <w:sz w:val="16"/>
                <w:szCs w:val="16"/>
              </w:rPr>
              <w:t xml:space="preserve">0.013</w:t>
            </w:r>
          </w:p>
        </w:tc>
        <w:tc>
          <w:tcPr>
            <w:tcW w:w="1450" w:type="dxa"/>
            <w:tcBorders>
              <w:top w:val="nil"/>
              <w:left w:val="nil"/>
              <w:bottom w:val="nil"/>
              <w:right w:val="nil"/>
            </w:tcBorders>
            <w:vAlign w:val="center"/>
          </w:tcPr>
          <w:p>
            <w:pPr>
              <w:spacing w:before="20" w:after="20"/>
              <w:jc w:val="center"/>
            </w:pPr>
            <w:r>
              <w:rPr>
                <w:sz w:val="16"/>
                <w:szCs w:val="16"/>
              </w:rPr>
              <w:t xml:space="preserve">switch-level</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Minimum </w:t>
            </w:r>
            <w:r>
              <w:rPr>
                <w:i/>
                <w:sz w:val="16"/>
                <w:szCs w:val="16"/>
              </w:rPr>
              <w:t xml:space="preserve">i</w:t>
            </w:r>
            <w:r>
              <w:rPr>
                <w:sz w:val="16"/>
                <w:szCs w:val="16"/>
                <w:vertAlign w:val="subscript"/>
              </w:rPr>
              <w:t xml:space="preserve">L</w:t>
            </w:r>
            <w:r>
              <w:rPr>
                <w:sz w:val="16"/>
                <w:szCs w:val="16"/>
              </w:rPr>
              <w:t xml:space="preserve">, </w:t>
            </w:r>
            <w:r>
              <w:rPr>
                <w:i/>
                <w:sz w:val="16"/>
                <w:szCs w:val="16"/>
              </w:rPr>
              <w:t xml:space="preserve">D</w:t>
            </w:r>
            <w:r>
              <w:rPr>
                <w:sz w:val="16"/>
                <w:szCs w:val="16"/>
              </w:rPr>
              <w:t xml:space="preserve"> = 0.5 (A)</w:t>
            </w:r>
          </w:p>
        </w:tc>
        <w:tc>
          <w:tcPr>
            <w:tcW w:w="1100" w:type="dxa"/>
            <w:tcBorders>
              <w:top w:val="nil"/>
              <w:left w:val="nil"/>
              <w:bottom w:val="nil"/>
              <w:right w:val="nil"/>
            </w:tcBorders>
            <w:vAlign w:val="center"/>
          </w:tcPr>
          <w:p>
            <w:pPr>
              <w:spacing w:before="20" w:after="20"/>
              <w:jc w:val="center"/>
            </w:pPr>
            <w:r>
              <w:rPr>
                <w:sz w:val="16"/>
                <w:szCs w:val="16"/>
              </w:rPr>
              <w:t xml:space="preserve">0.000</w:t>
            </w:r>
          </w:p>
        </w:tc>
        <w:tc>
          <w:tcPr>
            <w:tcW w:w="1450" w:type="dxa"/>
            <w:tcBorders>
              <w:top w:val="nil"/>
              <w:left w:val="nil"/>
              <w:bottom w:val="nil"/>
              <w:right w:val="nil"/>
            </w:tcBorders>
            <w:vAlign w:val="center"/>
          </w:tcPr>
          <w:p>
            <w:pPr>
              <w:spacing w:before="20" w:after="20"/>
              <w:jc w:val="center"/>
            </w:pPr>
            <w:r>
              <w:rPr>
                <w:sz w:val="16"/>
                <w:szCs w:val="16"/>
              </w:rPr>
              <w:t xml:space="preserve">−3.46 (CCM only)</w:t>
            </w:r>
          </w:p>
        </w:tc>
      </w:tr>
      <w:tr>
        <w:trPr>
          <w:cantSplit/>
        </w:trPr>
        <w:tc>
          <w:tcPr>
            <w:tcW w:w="2150" w:type="dxa"/>
            <w:tcBorders>
              <w:top w:val="nil"/>
              <w:left w:val="nil"/>
              <w:bottom w:val="nil"/>
              <w:right w:val="nil"/>
            </w:tcBorders>
            <w:vAlign w:val="center"/>
          </w:tcPr>
          <w:p>
            <w:pPr>
              <w:spacing w:before="20" w:after="20"/>
              <w:jc w:val="left"/>
            </w:pPr>
            <w:r>
              <w:rPr>
                <w:sz w:val="16"/>
                <w:szCs w:val="16"/>
              </w:rPr>
              <w:t xml:space="preserve">DCM point, </w:t>
            </w:r>
            <w:r>
              <w:rPr>
                <w:i/>
                <w:sz w:val="16"/>
                <w:szCs w:val="16"/>
              </w:rPr>
              <w:t xml:space="preserve">R</w:t>
            </w:r>
            <w:r>
              <w:rPr>
                <w:sz w:val="16"/>
                <w:szCs w:val="16"/>
              </w:rPr>
              <w:t xml:space="preserve"> = 500 Ω (V)</w:t>
            </w:r>
          </w:p>
        </w:tc>
        <w:tc>
          <w:tcPr>
            <w:tcW w:w="1100" w:type="dxa"/>
            <w:tcBorders>
              <w:top w:val="nil"/>
              <w:left w:val="nil"/>
              <w:bottom w:val="nil"/>
              <w:right w:val="nil"/>
            </w:tcBorders>
            <w:vAlign w:val="center"/>
          </w:tcPr>
          <w:p>
            <w:pPr>
              <w:spacing w:before="20" w:after="20"/>
              <w:jc w:val="center"/>
            </w:pPr>
            <w:r>
              <w:rPr>
                <w:sz w:val="16"/>
                <w:szCs w:val="16"/>
              </w:rPr>
              <w:t xml:space="preserve">28.045</w:t>
            </w:r>
          </w:p>
        </w:tc>
        <w:tc>
          <w:tcPr>
            <w:tcW w:w="1450" w:type="dxa"/>
            <w:tcBorders>
              <w:top w:val="nil"/>
              <w:left w:val="nil"/>
              <w:bottom w:val="nil"/>
              <w:right w:val="nil"/>
            </w:tcBorders>
            <w:vAlign w:val="center"/>
          </w:tcPr>
          <w:p>
            <w:pPr>
              <w:spacing w:before="20" w:after="20"/>
              <w:jc w:val="center"/>
            </w:pPr>
            <w:r>
              <w:rPr>
                <w:sz w:val="16"/>
                <w:szCs w:val="16"/>
              </w:rPr>
              <w:t xml:space="preserve">28.045 (closed form)</w:t>
            </w:r>
          </w:p>
        </w:tc>
      </w:tr>
    </w:tbl>
    <w:p>
      <w:pPr>
        <w:spacing w:after="60"/>
        <w:rPr>
          <w:sz w:val="8"/>
        </w:rPr>
      </w:pPr>
    </w:p>
    <w:p>
      <w:pPr>
        <w:pStyle w:val="H1ListSpace"/>
      </w:pPr>
      <w:r>
        <w:t xml:space="preserve">BASELINE CONTROLLERS</w:t>
      </w:r>
    </w:p>
    <w:p>
      <w:pPr>
        <w:pStyle w:val="H2Cont"/>
        <w:numPr>
          <w:ilvl w:val="0"/>
          <w:numId w:val="103"/>
        </w:numPr>
      </w:pPr>
      <w:r>
        <w:t xml:space="preserve">PID CONTROLLER</w:t>
      </w:r>
    </w:p>
    <w:p>
      <w:pPr>
        <w:pStyle w:val="PARA"/>
      </w:pPr>
      <w:r>
        <w:t xml:space="preserve">With error </w:t>
      </w:r>
      <w:r>
        <w:rPr>
          <w:i/>
        </w:rPr>
        <w:t xml:space="preserve">e</w:t>
      </w:r>
      <w:r>
        <w:t xml:space="preserve"> = </w:t>
      </w:r>
      <w:r>
        <w:rPr>
          <w:i/>
        </w:rPr>
        <w:t xml:space="preserve">V</w:t>
      </w:r>
      <w:r>
        <w:rPr>
          <w:vertAlign w:val="subscript"/>
        </w:rPr>
        <w:t xml:space="preserve">ref</w:t>
      </w:r>
      <w:r>
        <w:t xml:space="preserve"> − </w:t>
      </w:r>
      <w:r>
        <w:rPr>
          <w:i/>
        </w:rPr>
        <w:t xml:space="preserve">v</w:t>
      </w:r>
      <w:r>
        <w:rPr>
          <w:vertAlign w:val="subscript"/>
        </w:rPr>
        <w:t xml:space="preserve">out</w:t>
      </w:r>
      <w:r>
        <w:t xml:space="preserve">, the PID law is</w:t>
      </w:r>
    </w:p>
    <w:p>
      <w:pPr>
        <w:pStyle w:val="Equation"/>
        <w:tabs>
          <w:tab w:val="clear" w:pos="4584"/>
          <w:tab w:val="right" w:pos="4800"/>
        </w:tabs>
        <w:ind w:left="100"/>
      </w:pPr>
      <w:r>
        <w:rPr>
          <w:i/>
        </w:rPr>
        <w:t xml:space="preserve">D</w:t>
      </w:r>
      <w:r>
        <w:rPr>
          <w:i w:val="0"/>
        </w:rPr>
        <w:t xml:space="preserve"> = </w:t>
      </w:r>
      <w:r>
        <w:rPr>
          <w:i/>
        </w:rPr>
        <w:t xml:space="preserve">K</w:t>
      </w:r>
      <w:r>
        <w:rPr>
          <w:i w:val="0"/>
          <w:vertAlign w:val="subscript"/>
        </w:rPr>
        <w:t xml:space="preserve">p</w:t>
      </w:r>
      <w:r>
        <w:rPr>
          <w:i/>
        </w:rPr>
        <w:t xml:space="preserve">e</w:t>
      </w:r>
      <w:r>
        <w:rPr>
          <w:i w:val="0"/>
        </w:rPr>
        <w:t xml:space="preserve"> + </w:t>
      </w:r>
      <w:r>
        <w:rPr>
          <w:i/>
        </w:rPr>
        <w:t xml:space="preserve">K</w:t>
      </w:r>
      <w:r>
        <w:rPr>
          <w:i w:val="0"/>
          <w:vertAlign w:val="subscript"/>
        </w:rPr>
        <w:t xml:space="preserve">i</w:t>
      </w:r>
      <w:r>
        <w:rPr>
          <w:i w:val="0"/>
        </w:rPr>
        <w:t xml:space="preserve"> ∫</w:t>
      </w:r>
      <w:r>
        <w:rPr>
          <w:i/>
        </w:rPr>
        <w:t xml:space="preserve">e</w:t>
      </w:r>
      <w:r>
        <w:rPr>
          <w:i w:val="0"/>
        </w:rPr>
        <w:t xml:space="preserve"> </w:t>
      </w:r>
      <w:r>
        <w:rPr>
          <w:i/>
        </w:rPr>
        <w:t xml:space="preserve">dt</w:t>
      </w:r>
      <w:r>
        <w:rPr>
          <w:i w:val="0"/>
        </w:rPr>
        <w:t xml:space="preserve"> + </w:t>
      </w:r>
      <w:r>
        <w:rPr>
          <w:i/>
        </w:rPr>
        <w:t xml:space="preserve">K</w:t>
      </w:r>
      <w:r>
        <w:rPr>
          <w:i w:val="0"/>
          <w:vertAlign w:val="subscript"/>
        </w:rPr>
        <w:t xml:space="preserve">d</w:t>
      </w:r>
      <w:r>
        <w:rPr>
          <w:i w:val="0"/>
        </w:rPr>
        <w:t xml:space="preserve"> </w:t>
      </w:r>
      <w:r>
        <w:rPr>
          <w:i/>
        </w:rPr>
        <w:t xml:space="preserve">de</w:t>
      </w:r>
      <w:r>
        <w:rPr>
          <w:i w:val="0"/>
        </w:rPr>
        <w:t xml:space="preserve">/</w:t>
      </w:r>
      <w:r>
        <w:rPr>
          <w:i/>
        </w:rPr>
        <w:t xml:space="preserve">dt</w:t>
      </w:r>
      <w:r>
        <w:tab/>
      </w:r>
      <w:r>
        <w:rPr>
          <w:i w:val="0"/>
        </w:rPr>
        <w:t>(5)</w:t>
      </w:r>
    </w:p>
    <w:p>
      <w:pPr>
        <w:pStyle w:val="PARA"/>
      </w:pPr>
      <w:r>
        <w:t xml:space="preserve">The derivative acts on the measurement through a first-order filter (100 µs), the integral state is stored in duty units and unwound by back-calculation when the duty saturates, and the output is clipped to [0.05, 0.95]. A constant bias was deliberately avoided: an early version with a 0.5 duty offset applied half duty while </w:t>
      </w:r>
      <w:r>
        <w:rPr>
          <w:i/>
        </w:rPr>
        <w:t xml:space="preserve">v</w:t>
      </w:r>
      <w:r>
        <w:rPr>
          <w:vertAlign w:val="subscript"/>
        </w:rPr>
        <w:t xml:space="preserve">out</w:t>
      </w:r>
      <w:r>
        <w:t xml:space="preserve"> = 0 and gave 43.5 % start-up overshoot, against about 0 % for the pure PID form.</w:t>
      </w:r>
    </w:p>
    <w:p>
      <w:pPr>
        <w:pStyle w:val="PARAIndent"/>
      </w:pPr>
      <w:r>
        <w:t xml:space="preserve">The gains were derived in three steps. First, the plant was linearised, which shows the RHP zero that caps the usable bandwidth. Second, a differential-evolution search maximised the nominal crossover frequency (capped at 600 rad/s) subject to at least 45° phase margin and 6 dB gain margin on all 27 operating points (</w:t>
      </w:r>
      <w:r>
        <w:rPr>
          <w:i/>
        </w:rPr>
        <w:t xml:space="preserve">V</w:t>
      </w:r>
      <w:r>
        <w:rPr>
          <w:vertAlign w:val="subscript"/>
        </w:rPr>
        <w:t xml:space="preserve">in</w:t>
      </w:r>
      <w:r>
        <w:t xml:space="preserve"> = 10, 12, 14 V; </w:t>
      </w:r>
      <w:r>
        <w:rPr>
          <w:i/>
        </w:rPr>
        <w:t xml:space="preserve">R</w:t>
      </w:r>
      <w:r>
        <w:t xml:space="preserve"> = 10, 20, 30 Ω; </w:t>
      </w:r>
      <w:r>
        <w:rPr>
          <w:i/>
        </w:rPr>
        <w:t xml:space="preserve">V</w:t>
      </w:r>
      <w:r>
        <w:rPr>
          <w:vertAlign w:val="subscript"/>
        </w:rPr>
        <w:t xml:space="preserve">ref</w:t>
      </w:r>
      <w:r>
        <w:t xml:space="preserve"> = 20, 24, 28 V) with a 1.5-sample delay. Third, a Nelder–Mead search refined the gains on a time-domain cost over the five test scenarios while keeping the margins and a minimum </w:t>
      </w:r>
      <w:r>
        <w:rPr>
          <w:i/>
        </w:rPr>
        <w:t xml:space="preserve">K</w:t>
      </w:r>
      <w:r>
        <w:rPr>
          <w:vertAlign w:val="subscript"/>
        </w:rPr>
        <w:t xml:space="preserve">p</w:t>
      </w:r>
      <w:r>
        <w:t xml:space="preserve">. The result (Table II) has worst-case margins of 56.5° and 6.0 dB.</w:t>
      </w:r>
    </w:p>
    <w:p>
      <w:pPr>
        <w:pStyle w:val="H2Cont"/>
        <w:numPr>
          <w:ilvl w:val="0"/>
          <w:numId w:val="103"/>
        </w:numPr>
      </w:pPr>
      <w:r>
        <w:t xml:space="preserve">SLIDING-MODE CONTROLLER</w:t>
      </w:r>
    </w:p>
    <w:p>
      <w:pPr>
        <w:pStyle w:val="PARA"/>
      </w:pPr>
      <w:r>
        <w:t xml:space="preserve">The usual surface </w:t>
      </w:r>
      <w:r>
        <w:rPr>
          <w:i/>
        </w:rPr>
        <w:t xml:space="preserve">s</w:t>
      </w:r>
      <w:r>
        <w:t xml:space="preserve"> = </w:t>
      </w:r>
      <w:r>
        <w:rPr>
          <w:i/>
        </w:rPr>
        <w:t xml:space="preserve">de</w:t>
      </w:r>
      <w:r>
        <w:t xml:space="preserve">/</w:t>
      </w:r>
      <w:r>
        <w:rPr>
          <w:i/>
        </w:rPr>
        <w:t xml:space="preserve">dt</w:t>
      </w:r>
      <w:r>
        <w:t xml:space="preserve"> + λ</w:t>
      </w:r>
      <w:r>
        <w:rPr>
          <w:i/>
        </w:rPr>
        <w:t xml:space="preserve">e</w:t>
      </w:r>
      <w:r>
        <w:t xml:space="preserve">, built from the voltage alone, does not work here. Because </w:t>
      </w:r>
      <w:r>
        <w:rPr>
          <w:i/>
        </w:rPr>
        <w:t xml:space="preserve">v</w:t>
      </w:r>
      <w:r>
        <w:rPr>
          <w:vertAlign w:val="subscript"/>
        </w:rPr>
        <w:t xml:space="preserve">out</w:t>
      </w:r>
      <w:r>
        <w:t xml:space="preserve"> depends directly on </w:t>
      </w:r>
      <w:r>
        <w:rPr>
          <w:i/>
        </w:rPr>
        <w:t xml:space="preserve">D</w:t>
      </w:r>
      <w:r>
        <w:t xml:space="preserve"> with a sign opposite to its steady-state gain (the RHP zero), forcing such a surface to zero hides unstable inductor-current dynamics. In simulation the output collapses to 12.6 V when 26 V is requested. The inductor current responds to </w:t>
      </w:r>
      <w:r>
        <w:rPr>
          <w:i/>
        </w:rPr>
        <w:t xml:space="preserve">D</w:t>
      </w:r>
      <w:r>
        <w:t xml:space="preserve"> with the correct sign, so the surface is placed on the current and the voltage error enters through the current reference:</w:t>
      </w:r>
    </w:p>
    <w:p>
      <w:pPr>
        <w:pStyle w:val="Equation"/>
        <w:tabs>
          <w:tab w:val="clear" w:pos="4584"/>
          <w:tab w:val="right" w:pos="4800"/>
        </w:tabs>
        <w:ind w:left="100"/>
      </w:pPr>
      <w:r>
        <w:rPr>
          <w:i/>
        </w:rPr>
        <w:t xml:space="preserve">s</w:t>
      </w:r>
      <w:r>
        <w:rPr>
          <w:i w:val="0"/>
        </w:rPr>
        <w:t xml:space="preserve"> = </w:t>
      </w:r>
      <w:r>
        <w:rPr>
          <w:i/>
        </w:rPr>
        <w:t xml:space="preserve">i</w:t>
      </w:r>
      <w:r>
        <w:rPr>
          <w:i w:val="0"/>
          <w:vertAlign w:val="subscript"/>
        </w:rPr>
        <w:t xml:space="preserve">L</w:t>
      </w:r>
      <w:r>
        <w:rPr>
          <w:i w:val="0"/>
        </w:rPr>
        <w:t xml:space="preserve"> − </w:t>
      </w:r>
      <w:r>
        <w:rPr>
          <w:i/>
        </w:rPr>
        <w:t xml:space="preserve">i</w:t>
      </w:r>
      <w:r>
        <w:rPr>
          <w:i w:val="0"/>
          <w:vertAlign w:val="subscript"/>
        </w:rPr>
        <w:t xml:space="preserve">ref</w:t>
      </w:r>
      <w:r>
        <w:tab/>
      </w:r>
      <w:r>
        <w:rPr>
          <w:i w:val="0"/>
        </w:rPr>
        <w:t>(6)</w:t>
      </w:r>
    </w:p>
    <w:p>
      <w:pPr>
        <w:pStyle w:val="Equation"/>
        <w:tabs>
          <w:tab w:val="clear" w:pos="4584"/>
          <w:tab w:val="right" w:pos="4800"/>
        </w:tabs>
        <w:ind w:left="100"/>
      </w:pPr>
      <w:r>
        <w:rPr>
          <w:i/>
        </w:rPr>
        <w:t xml:space="preserve">i</w:t>
      </w:r>
      <w:r>
        <w:rPr>
          <w:i w:val="0"/>
          <w:vertAlign w:val="subscript"/>
        </w:rPr>
        <w:t xml:space="preserve">ref</w:t>
      </w:r>
      <w:r>
        <w:rPr>
          <w:i w:val="0"/>
        </w:rPr>
        <w:t xml:space="preserve"> = clip(</w:t>
      </w:r>
      <w:r>
        <w:rPr>
          <w:i/>
        </w:rPr>
        <w:t xml:space="preserve">K</w:t>
      </w:r>
      <w:r>
        <w:rPr>
          <w:i w:val="0"/>
          <w:vertAlign w:val="subscript"/>
        </w:rPr>
        <w:t xml:space="preserve">v</w:t>
      </w:r>
      <w:r>
        <w:rPr>
          <w:i/>
        </w:rPr>
        <w:t xml:space="preserve">e</w:t>
      </w:r>
      <w:r>
        <w:rPr>
          <w:i w:val="0"/>
        </w:rPr>
        <w:t xml:space="preserve"> + </w:t>
      </w:r>
      <w:r>
        <w:rPr>
          <w:i/>
        </w:rPr>
        <w:t xml:space="preserve">K</w:t>
      </w:r>
      <w:r>
        <w:rPr>
          <w:i w:val="0"/>
          <w:vertAlign w:val="subscript"/>
        </w:rPr>
        <w:t xml:space="preserve">i</w:t>
      </w:r>
      <w:r>
        <w:rPr>
          <w:i w:val="0"/>
        </w:rPr>
        <w:t xml:space="preserve"> ∫</w:t>
      </w:r>
      <w:r>
        <w:rPr>
          <w:i/>
        </w:rPr>
        <w:t xml:space="preserve">e</w:t>
      </w:r>
      <w:r>
        <w:rPr>
          <w:i w:val="0"/>
        </w:rPr>
        <w:t xml:space="preserve"> </w:t>
      </w:r>
      <w:r>
        <w:rPr>
          <w:i/>
        </w:rPr>
        <w:t xml:space="preserve">dt</w:t>
      </w:r>
      <w:r>
        <w:rPr>
          <w:i w:val="0"/>
        </w:rPr>
        <w:t xml:space="preserve">, 0, </w:t>
      </w:r>
      <w:r>
        <w:rPr>
          <w:i/>
        </w:rPr>
        <w:t xml:space="preserve">I</w:t>
      </w:r>
      <w:r>
        <w:rPr>
          <w:i w:val="0"/>
          <w:vertAlign w:val="subscript"/>
        </w:rPr>
        <w:t xml:space="preserve">max</w:t>
      </w:r>
      <w:r>
        <w:rPr>
          <w:i w:val="0"/>
        </w:rPr>
        <w:t xml:space="preserve">)</w:t>
      </w:r>
      <w:r>
        <w:tab/>
      </w:r>
      <w:r>
        <w:rPr>
          <w:i w:val="0"/>
        </w:rPr>
        <w:t>(7)</w:t>
      </w:r>
    </w:p>
    <w:p>
      <w:pPr>
        <w:pStyle w:val="Equation"/>
        <w:tabs>
          <w:tab w:val="clear" w:pos="4584"/>
          <w:tab w:val="right" w:pos="4800"/>
        </w:tabs>
        <w:ind w:left="100"/>
      </w:pPr>
      <w:r>
        <w:rPr>
          <w:i/>
        </w:rPr>
        <w:t xml:space="preserve">D</w:t>
      </w:r>
      <w:r>
        <w:rPr>
          <w:i w:val="0"/>
        </w:rPr>
        <w:t xml:space="preserve"> = (1 − </w:t>
      </w:r>
      <w:r>
        <w:rPr>
          <w:i/>
        </w:rPr>
        <w:t xml:space="preserve">V</w:t>
      </w:r>
      <w:r>
        <w:rPr>
          <w:i w:val="0"/>
          <w:vertAlign w:val="subscript"/>
        </w:rPr>
        <w:t xml:space="preserve">in,nom</w:t>
      </w:r>
      <w:r>
        <w:rPr>
          <w:i w:val="0"/>
        </w:rPr>
        <w:t xml:space="preserve">/</w:t>
      </w:r>
      <w:r>
        <w:rPr>
          <w:i/>
        </w:rPr>
        <w:t xml:space="preserve">v</w:t>
      </w:r>
      <w:r>
        <w:rPr>
          <w:i w:val="0"/>
          <w:vertAlign w:val="subscript"/>
        </w:rPr>
        <w:t xml:space="preserve">out</w:t>
      </w:r>
      <w:r>
        <w:rPr>
          <w:i w:val="0"/>
        </w:rPr>
        <w:t xml:space="preserve">) − </w:t>
      </w:r>
      <w:r>
        <w:rPr>
          <w:i/>
        </w:rPr>
        <w:t xml:space="preserve">K</w:t>
      </w:r>
      <w:r>
        <w:rPr>
          <w:i w:val="0"/>
        </w:rPr>
        <w:t xml:space="preserve"> sat(</w:t>
      </w:r>
      <w:r>
        <w:rPr>
          <w:i/>
        </w:rPr>
        <w:t xml:space="preserve">s</w:t>
      </w:r>
      <w:r>
        <w:rPr>
          <w:i w:val="0"/>
        </w:rPr>
        <w:t xml:space="preserve">/φ)</w:t>
      </w:r>
      <w:r>
        <w:tab/>
      </w:r>
      <w:r>
        <w:rPr>
          <w:i w:val="0"/>
        </w:rPr>
        <w:t>(8)</w:t>
      </w:r>
    </w:p>
    <w:p>
      <w:pPr>
        <w:pStyle w:val="PARA"/>
      </w:pPr>
      <w:r>
        <w:t xml:space="preserve">The first term of (8) is the equivalent control for the nominal 12 V input, which is assumed rather than measured, so input steps are genuine disturbances. The saturation function replaces the sign function to limit chattering [4]. The current reference is limited to [0, 10 A], which prevents negative current requests (consistent with the DCM model) and limits start-up inrush. Inside the boundary layer the law is a proportional current loop whose discrete gain (</w:t>
      </w:r>
      <w:r>
        <w:rPr>
          <w:i/>
        </w:rPr>
        <w:t xml:space="preserve">K</w:t>
      </w:r>
      <w:r>
        <w:t xml:space="preserve">/φ)(</w:t>
      </w:r>
      <w:r>
        <w:rPr>
          <w:i/>
        </w:rPr>
        <w:t xml:space="preserve">T</w:t>
      </w:r>
      <w:r>
        <w:rPr>
          <w:vertAlign w:val="subscript"/>
        </w:rPr>
        <w:t xml:space="preserve">s</w:t>
      </w:r>
      <w:r>
        <w:t xml:space="preserve">·</w:t>
      </w:r>
      <w:r>
        <w:rPr>
          <w:i/>
        </w:rPr>
        <w:t xml:space="preserve">v</w:t>
      </w:r>
      <w:r>
        <w:rPr>
          <w:vertAlign w:val="subscript"/>
        </w:rPr>
        <w:t xml:space="preserve">out</w:t>
      </w:r>
      <w:r>
        <w:t xml:space="preserve">/</w:t>
      </w:r>
      <w:r>
        <w:rPr>
          <w:i/>
        </w:rPr>
        <w:t xml:space="preserve">L</w:t>
      </w:r>
      <w:r>
        <w:t xml:space="preserve">) must stay below 2; the design value is 0.45 at 24 V. The outer-loop gains follow from the first-order plant with the current held at its reference and were refined with the same time-domain cost as the PID.</w:t>
      </w:r>
    </w:p>
    <w:p>
      <w:pPr>
        <w:pStyle w:val="TableTitle"/>
        <w:keepNext/>
        <w:spacing w:before="160"/>
      </w:pPr>
      <w:r>
        <w:t xml:space="preserve">TABLE II</w:t>
      </w:r>
    </w:p>
    <w:p>
      <w:pPr>
        <w:pStyle w:val="TableTitle"/>
        <w:keepNext/>
        <w:spacing w:after="60"/>
      </w:pPr>
      <w:r>
        <w:t xml:space="preserve">Baseline Controller Parameters</w:t>
      </w:r>
    </w:p>
    <w:tbl>
      <w:tblPr>
        <w:tblW w:w="470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900"/>
        <w:gridCol w:w="1900"/>
        <w:gridCol w:w="1900"/>
      </w:tblGrid>
      <w:tr>
        <w:trPr>
          <w:cantSplit/>
          <w:tblHeader/>
        </w:trPr>
        <w:tc>
          <w:tcPr>
            <w:tcW w:w="90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Controller</w:t>
            </w:r>
          </w:p>
        </w:tc>
        <w:tc>
          <w:tcPr>
            <w:tcW w:w="19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Parameter</w:t>
            </w:r>
          </w:p>
        </w:tc>
        <w:tc>
          <w:tcPr>
            <w:tcW w:w="19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Value</w:t>
            </w:r>
          </w:p>
        </w:tc>
      </w:tr>
      <w:tr>
        <w:trPr>
          <w:cantSplit/>
        </w:trPr>
        <w:tc>
          <w:tcPr>
            <w:tcW w:w="900" w:type="dxa"/>
            <w:tcBorders>
              <w:top w:val="nil"/>
              <w:left w:val="nil"/>
              <w:bottom w:val="nil"/>
              <w:right w:val="nil"/>
            </w:tcBorders>
            <w:vAlign w:val="center"/>
          </w:tcPr>
          <w:p>
            <w:pPr>
              <w:spacing w:before="20" w:after="20"/>
              <w:jc w:val="left"/>
            </w:pPr>
            <w:r>
              <w:rPr>
                <w:sz w:val="16"/>
                <w:szCs w:val="16"/>
              </w:rPr>
              <w:t xml:space="preserve">PID</w:t>
            </w:r>
          </w:p>
        </w:tc>
        <w:tc>
          <w:tcPr>
            <w:tcW w:w="1900" w:type="dxa"/>
            <w:tcBorders>
              <w:top w:val="nil"/>
              <w:left w:val="nil"/>
              <w:bottom w:val="nil"/>
              <w:right w:val="nil"/>
            </w:tcBorders>
            <w:vAlign w:val="center"/>
          </w:tcPr>
          <w:p>
            <w:pPr>
              <w:spacing w:before="20" w:after="20"/>
              <w:jc w:val="center"/>
            </w:pPr>
            <w:r>
              <w:rPr>
                <w:i/>
                <w:sz w:val="16"/>
                <w:szCs w:val="16"/>
              </w:rPr>
              <w:t xml:space="preserve">K</w:t>
            </w:r>
            <w:r>
              <w:rPr>
                <w:sz w:val="16"/>
                <w:szCs w:val="16"/>
                <w:vertAlign w:val="subscript"/>
              </w:rPr>
              <w:t xml:space="preserve">p</w:t>
            </w:r>
            <w:r>
              <w:rPr>
                <w:sz w:val="16"/>
                <w:szCs w:val="16"/>
              </w:rPr>
              <w:t xml:space="preserve">, </w:t>
            </w:r>
            <w:r>
              <w:rPr>
                <w:i/>
                <w:sz w:val="16"/>
                <w:szCs w:val="16"/>
              </w:rPr>
              <w:t xml:space="preserve">K</w:t>
            </w:r>
            <w:r>
              <w:rPr>
                <w:sz w:val="16"/>
                <w:szCs w:val="16"/>
                <w:vertAlign w:val="subscript"/>
              </w:rPr>
              <w:t xml:space="preserve">i</w:t>
            </w:r>
            <w:r>
              <w:rPr>
                <w:sz w:val="16"/>
                <w:szCs w:val="16"/>
              </w:rPr>
              <w:t xml:space="preserve">, </w:t>
            </w:r>
            <w:r>
              <w:rPr>
                <w:i/>
                <w:sz w:val="16"/>
                <w:szCs w:val="16"/>
              </w:rPr>
              <w:t xml:space="preserve">K</w:t>
            </w:r>
            <w:r>
              <w:rPr>
                <w:sz w:val="16"/>
                <w:szCs w:val="16"/>
                <w:vertAlign w:val="subscript"/>
              </w:rPr>
              <w:t xml:space="preserve">d</w:t>
            </w:r>
          </w:p>
        </w:tc>
        <w:tc>
          <w:tcPr>
            <w:tcW w:w="1900" w:type="dxa"/>
            <w:tcBorders>
              <w:top w:val="nil"/>
              <w:left w:val="nil"/>
              <w:bottom w:val="nil"/>
              <w:right w:val="nil"/>
            </w:tcBorders>
            <w:vAlign w:val="center"/>
          </w:tcPr>
          <w:p>
            <w:pPr>
              <w:spacing w:before="20" w:after="20"/>
              <w:jc w:val="center"/>
            </w:pPr>
            <w:r>
              <w:rPr>
                <w:sz w:val="16"/>
                <w:szCs w:val="16"/>
              </w:rPr>
              <w:t xml:space="preserve">0.0049154, 6.6994, 2.7364×10⁻⁵</w:t>
            </w:r>
          </w:p>
        </w:tc>
      </w:tr>
      <w:tr>
        <w:trPr>
          <w:cantSplit/>
        </w:trPr>
        <w:tc>
          <w:tcPr>
            <w:tcW w:w="900" w:type="dxa"/>
            <w:tcBorders>
              <w:top w:val="nil"/>
              <w:left w:val="nil"/>
              <w:bottom w:val="nil"/>
              <w:right w:val="nil"/>
            </w:tcBorders>
            <w:vAlign w:val="center"/>
          </w:tcPr>
          <w:p>
            <w:pPr>
              <w:spacing w:before="20" w:after="20"/>
              <w:jc w:val="left"/>
            </w:pPr>
            <w:r>
              <w:rPr>
                <w:sz w:val="16"/>
                <w:szCs w:val="16"/>
              </w:rPr>
              <w:t xml:space="preserve">SMC</w:t>
            </w:r>
          </w:p>
        </w:tc>
        <w:tc>
          <w:tcPr>
            <w:tcW w:w="1900" w:type="dxa"/>
            <w:tcBorders>
              <w:top w:val="nil"/>
              <w:left w:val="nil"/>
              <w:bottom w:val="nil"/>
              <w:right w:val="nil"/>
            </w:tcBorders>
            <w:vAlign w:val="center"/>
          </w:tcPr>
          <w:p>
            <w:pPr>
              <w:spacing w:before="20" w:after="20"/>
              <w:jc w:val="center"/>
            </w:pPr>
            <w:r>
              <w:rPr>
                <w:i/>
                <w:sz w:val="16"/>
                <w:szCs w:val="16"/>
              </w:rPr>
              <w:t xml:space="preserve">K</w:t>
            </w:r>
            <w:r>
              <w:rPr>
                <w:sz w:val="16"/>
                <w:szCs w:val="16"/>
                <w:vertAlign w:val="subscript"/>
              </w:rPr>
              <w:t xml:space="preserve">v</w:t>
            </w:r>
            <w:r>
              <w:rPr>
                <w:sz w:val="16"/>
                <w:szCs w:val="16"/>
              </w:rPr>
              <w:t xml:space="preserve"> (A/V), </w:t>
            </w:r>
            <w:r>
              <w:rPr>
                <w:i/>
                <w:sz w:val="16"/>
                <w:szCs w:val="16"/>
              </w:rPr>
              <w:t xml:space="preserve">K</w:t>
            </w:r>
            <w:r>
              <w:rPr>
                <w:sz w:val="16"/>
                <w:szCs w:val="16"/>
                <w:vertAlign w:val="subscript"/>
              </w:rPr>
              <w:t xml:space="preserve">i</w:t>
            </w:r>
            <w:r>
              <w:rPr>
                <w:sz w:val="16"/>
                <w:szCs w:val="16"/>
              </w:rPr>
              <w:t xml:space="preserve"> (A/(V·s))</w:t>
            </w:r>
          </w:p>
        </w:tc>
        <w:tc>
          <w:tcPr>
            <w:tcW w:w="1900" w:type="dxa"/>
            <w:tcBorders>
              <w:top w:val="nil"/>
              <w:left w:val="nil"/>
              <w:bottom w:val="nil"/>
              <w:right w:val="nil"/>
            </w:tcBorders>
            <w:vAlign w:val="center"/>
          </w:tcPr>
          <w:p>
            <w:pPr>
              <w:spacing w:before="20" w:after="20"/>
              <w:jc w:val="center"/>
            </w:pPr>
            <w:r>
              <w:rPr>
                <w:sz w:val="16"/>
                <w:szCs w:val="16"/>
              </w:rPr>
              <w:t xml:space="preserve">0.65641, 164.74</w:t>
            </w:r>
          </w:p>
        </w:tc>
      </w:tr>
      <w:tr>
        <w:trPr>
          <w:cantSplit/>
        </w:trPr>
        <w:tc>
          <w:tcPr>
            <w:tcW w:w="900" w:type="dxa"/>
            <w:tcBorders>
              <w:top w:val="nil"/>
              <w:left w:val="nil"/>
              <w:bottom w:val="nil"/>
              <w:right w:val="nil"/>
            </w:tcBorders>
            <w:vAlign w:val="center"/>
          </w:tcPr>
          <w:p>
            <w:pPr>
              <w:spacing w:before="20" w:after="20"/>
              <w:jc w:val="left"/>
            </w:pPr>
            <w:r>
              <w:rPr>
                <w:sz w:val="16"/>
                <w:szCs w:val="16"/>
              </w:rPr>
              <w:t xml:space="preserve">SMC</w:t>
            </w:r>
          </w:p>
        </w:tc>
        <w:tc>
          <w:tcPr>
            <w:tcW w:w="1900" w:type="dxa"/>
            <w:tcBorders>
              <w:top w:val="nil"/>
              <w:left w:val="nil"/>
              <w:bottom w:val="nil"/>
              <w:right w:val="nil"/>
            </w:tcBorders>
            <w:vAlign w:val="center"/>
          </w:tcPr>
          <w:p>
            <w:pPr>
              <w:spacing w:before="20" w:after="20"/>
              <w:jc w:val="center"/>
            </w:pPr>
            <w:r>
              <w:rPr>
                <w:i/>
                <w:sz w:val="16"/>
                <w:szCs w:val="16"/>
              </w:rPr>
              <w:t xml:space="preserve">K</w:t>
            </w:r>
            <w:r>
              <w:rPr>
                <w:sz w:val="16"/>
                <w:szCs w:val="16"/>
              </w:rPr>
              <w:t xml:space="preserve">, φ (A), </w:t>
            </w:r>
            <w:r>
              <w:rPr>
                <w:i/>
                <w:sz w:val="16"/>
                <w:szCs w:val="16"/>
              </w:rPr>
              <w:t xml:space="preserve">I</w:t>
            </w:r>
            <w:r>
              <w:rPr>
                <w:sz w:val="16"/>
                <w:szCs w:val="16"/>
                <w:vertAlign w:val="subscript"/>
              </w:rPr>
              <w:t xml:space="preserve">max</w:t>
            </w:r>
            <w:r>
              <w:rPr>
                <w:sz w:val="16"/>
                <w:szCs w:val="16"/>
              </w:rPr>
              <w:t xml:space="preserve"> (A)</w:t>
            </w:r>
          </w:p>
        </w:tc>
        <w:tc>
          <w:tcPr>
            <w:tcW w:w="1900" w:type="dxa"/>
            <w:tcBorders>
              <w:top w:val="nil"/>
              <w:left w:val="nil"/>
              <w:bottom w:val="nil"/>
              <w:right w:val="nil"/>
            </w:tcBorders>
            <w:vAlign w:val="center"/>
          </w:tcPr>
          <w:p>
            <w:pPr>
              <w:spacing w:before="20" w:after="20"/>
              <w:jc w:val="center"/>
            </w:pPr>
            <w:r>
              <w:rPr>
                <w:sz w:val="16"/>
                <w:szCs w:val="16"/>
              </w:rPr>
              <w:t xml:space="preserve">0.3, 0.8, 10</w:t>
            </w:r>
          </w:p>
        </w:tc>
      </w:tr>
    </w:tbl>
    <w:p>
      <w:pPr>
        <w:spacing w:after="60"/>
        <w:rPr>
          <w:sz w:val="8"/>
        </w:rPr>
      </w:pPr>
    </w:p>
    <w:p>
      <w:pPr>
        <w:pStyle w:val="H1ListSpace"/>
      </w:pPr>
      <w:r>
        <w:t xml:space="preserve">REINFORCEMENT-LEARNING FORMULATION</w:t>
      </w:r>
    </w:p>
    <w:p>
      <w:pPr>
        <w:pStyle w:val="H2Cont"/>
        <w:numPr>
          <w:ilvl w:val="0"/>
          <w:numId w:val="104"/>
        </w:numPr>
      </w:pPr>
      <w:r>
        <w:t xml:space="preserve">ENVIRONMENT</w:t>
      </w:r>
    </w:p>
    <w:p>
      <w:pPr>
        <w:pStyle w:val="PARA"/>
      </w:pPr>
      <w:r>
        <w:t xml:space="preserve">The converter is wrapped in a Gymnasium environment [11]. One agent step holds the action for four converter steps (200 µs) and an episode lasts 400 steps (80 ms). The observation has five normalised entries: voltage error (divided by 10 V), its change per step, the clamped integral of the error, </w:t>
      </w:r>
      <w:r>
        <w:rPr>
          <w:i/>
        </w:rPr>
        <w:t xml:space="preserve">v</w:t>
      </w:r>
      <w:r>
        <w:rPr>
          <w:vertAlign w:val="subscript"/>
        </w:rPr>
        <w:t xml:space="preserve">out</w:t>
      </w:r>
      <w:r>
        <w:t xml:space="preserve">/24 V and </w:t>
      </w:r>
      <w:r>
        <w:rPr>
          <w:i/>
        </w:rPr>
        <w:t xml:space="preserve">i</w:t>
      </w:r>
      <w:r>
        <w:rPr>
          <w:vertAlign w:val="subscript"/>
        </w:rPr>
        <w:t xml:space="preserve">L</w:t>
      </w:r>
      <w:r>
        <w:t xml:space="preserve">/10 A; the agent sees neither </w:t>
      </w:r>
      <w:r>
        <w:rPr>
          <w:i/>
        </w:rPr>
        <w:t xml:space="preserve">V</w:t>
      </w:r>
      <w:r>
        <w:rPr>
          <w:vertAlign w:val="subscript"/>
        </w:rPr>
        <w:t xml:space="preserve">in</w:t>
      </w:r>
      <w:r>
        <w:t xml:space="preserve"> nor </w:t>
      </w:r>
      <w:r>
        <w:rPr>
          <w:i/>
        </w:rPr>
        <w:t xml:space="preserve">R</w:t>
      </w:r>
      <w:r>
        <w:t xml:space="preserve">. The action is a normalised number </w:t>
      </w:r>
      <w:r>
        <w:rPr>
          <w:i/>
        </w:rPr>
        <w:t xml:space="preserve">a</w:t>
      </w:r>
      <w:r>
        <w:t xml:space="preserve"> ∈ [−1, 1]. The reward at each step is the sum of a tracking term −(0.5</w:t>
      </w:r>
      <w:r>
        <w:rPr>
          <w:i/>
        </w:rPr>
        <w:t xml:space="preserve">x</w:t>
      </w:r>
      <w:r>
        <w:t xml:space="preserve"> + 0.5√</w:t>
      </w:r>
      <w:r>
        <w:rPr>
          <w:i/>
        </w:rPr>
        <w:t xml:space="preserve">x</w:t>
      </w:r>
      <w:r>
        <w:t xml:space="preserve">) with </w:t>
      </w:r>
      <w:r>
        <w:rPr>
          <w:i/>
        </w:rPr>
        <w:t xml:space="preserve">x</w:t>
      </w:r>
      <w:r>
        <w:t xml:space="preserve"> = |</w:t>
      </w:r>
      <w:r>
        <w:rPr>
          <w:i/>
        </w:rPr>
        <w:t xml:space="preserve">e</w:t>
      </w:r>
      <w:r>
        <w:t xml:space="preserve">|/10 V (the square-root part keeps small offsets costly), an extra overshoot penalty, a pseudo-Huber penalty on the duty change, a penalty on the error change, a soft penalty above 12 A, a smooth precision bonus of up to 0.5, and a survival bonus of 1. A protection trip (</w:t>
      </w:r>
      <w:r>
        <w:rPr>
          <w:i/>
        </w:rPr>
        <w:t xml:space="preserve">v</w:t>
      </w:r>
      <w:r>
        <w:rPr>
          <w:vertAlign w:val="subscript"/>
        </w:rPr>
        <w:t xml:space="preserve">out</w:t>
      </w:r>
      <w:r>
        <w:t xml:space="preserve"> &gt; 60 V, </w:t>
      </w:r>
      <w:r>
        <w:rPr>
          <w:i/>
        </w:rPr>
        <w:t xml:space="preserve">i</w:t>
      </w:r>
      <w:r>
        <w:rPr>
          <w:vertAlign w:val="subscript"/>
        </w:rPr>
        <w:t xml:space="preserve">L</w:t>
      </w:r>
      <w:r>
        <w:t xml:space="preserve"> &gt; 30 A, or an invalid state) ends the episode with a reward of −50.</w:t>
      </w:r>
    </w:p>
    <w:p>
      <w:pPr>
        <w:pStyle w:val="PARAIndent"/>
      </w:pPr>
      <w:r>
        <w:t xml:space="preserve">Every training episode draws random conditions: </w:t>
      </w:r>
      <w:r>
        <w:rPr>
          <w:i/>
        </w:rPr>
        <w:t xml:space="preserve">V</w:t>
      </w:r>
      <w:r>
        <w:rPr>
          <w:vertAlign w:val="subscript"/>
        </w:rPr>
        <w:t xml:space="preserve">in</w:t>
      </w:r>
      <w:r>
        <w:t xml:space="preserve"> ∈ [10, 14] V, </w:t>
      </w:r>
      <w:r>
        <w:rPr>
          <w:i/>
        </w:rPr>
        <w:t xml:space="preserve">R</w:t>
      </w:r>
      <w:r>
        <w:t xml:space="preserve"> ∈ [10, 30] Ω, </w:t>
      </w:r>
      <w:r>
        <w:rPr>
          <w:i/>
        </w:rPr>
        <w:t xml:space="preserve">V</w:t>
      </w:r>
      <w:r>
        <w:rPr>
          <w:vertAlign w:val="subscript"/>
        </w:rPr>
        <w:t xml:space="preserve">ref</w:t>
      </w:r>
      <w:r>
        <w:t xml:space="preserve"> ∈ [20, 28] V, a random start state (cold, pre-charged or near the operating point), and with probability 0.5 a random input-voltage and/or load step between 25 % and 60 % of the episode. The five evaluation scenarios are never sampled exactly. The reward was tested against reference policies before long training: an earlier linear version ranked a weak 5,000-step policy above the PID (+38.0 against +26.5), whereas the final version ranks the PID first (+499.7 against +431.7).</w:t>
      </w:r>
    </w:p>
    <w:p>
      <w:pPr>
        <w:pStyle w:val="H2Cont"/>
        <w:numPr>
          <w:ilvl w:val="0"/>
          <w:numId w:val="104"/>
        </w:numPr>
      </w:pPr>
      <w:r>
        <w:t xml:space="preserve">TD3 TRAINING</w:t>
      </w:r>
    </w:p>
    <w:p>
      <w:pPr>
        <w:pStyle w:val="PARA"/>
      </w:pPr>
      <w:r>
        <w:t xml:space="preserve">TD3 [9] is an off-policy actor–critic method for continuous actions that curbs value over-estimation with twin critics, delayed actor updates and target-policy smoothing. It was implemented with Stable-Baselines3 [10] and PyTorch. All three RL controllers use the same settings: two hidden layers of 64 units for actor and critics, learning rate 10</w:t>
      </w:r>
      <w:r>
        <w:rPr>
          <w:vertAlign w:val="superscript"/>
        </w:rPr>
        <w:t xml:space="preserve">−3</w:t>
      </w:r>
      <w:r>
        <w:t xml:space="preserve">, discount 0.99, target rate 0.005, batch size 256, replay buffer 200,000, policy delay 2, target-noise 0.2 (clipped at 0.5) and Gaussian exploration noise of 0.1. Each controller was trained for 200,000 steps with seeds 0, 1 and 2 (nine runs, 19 minutes in total).</w:t>
      </w:r>
    </w:p>
    <w:p>
      <w:pPr>
        <w:pStyle w:val="H2Cont"/>
        <w:numPr>
          <w:ilvl w:val="0"/>
          <w:numId w:val="104"/>
        </w:numPr>
      </w:pPr>
      <w:r>
        <w:t xml:space="preserve">CONTROLLER STRUCTURES</w:t>
      </w:r>
    </w:p>
    <w:p>
      <w:pPr>
        <w:pStyle w:val="PARA"/>
      </w:pPr>
      <w:r>
        <w:t xml:space="preserve">In the direct controller the network output is mapped linearly to </w:t>
      </w:r>
      <w:r>
        <w:rPr>
          <w:i/>
        </w:rPr>
        <w:t xml:space="preserve">D</w:t>
      </w:r>
      <w:r>
        <w:t xml:space="preserve"> = 0.05 + 0.45(</w:t>
      </w:r>
      <w:r>
        <w:rPr>
          <w:i/>
        </w:rPr>
        <w:t xml:space="preserve">a</w:t>
      </w:r>
      <w:r>
        <w:t xml:space="preserve"> + 1). In the adaptive controllers (Fig. 1) the network never touches the duty cycle: its output tunes the parameters of the unchanged baseline controller, which runs at the converter rate. For each parameter with baseline </w:t>
      </w:r>
      <w:r>
        <w:rPr>
          <w:i/>
        </w:rPr>
        <w:t xml:space="preserve">K</w:t>
      </w:r>
      <w:r>
        <w:rPr>
          <w:vertAlign w:val="subscript"/>
        </w:rPr>
        <w:t xml:space="preserve">0</w:t>
      </w:r>
      <w:r>
        <w:t xml:space="preserve"> and allowed range [</w:t>
      </w:r>
      <w:r>
        <w:rPr>
          <w:i/>
        </w:rPr>
        <w:t xml:space="preserve">K</w:t>
      </w:r>
      <w:r>
        <w:rPr>
          <w:vertAlign w:val="subscript"/>
        </w:rPr>
        <w:t xml:space="preserve">lo</w:t>
      </w:r>
      <w:r>
        <w:t xml:space="preserve">, </w:t>
      </w:r>
      <w:r>
        <w:rPr>
          <w:i/>
        </w:rPr>
        <w:t xml:space="preserve">K</w:t>
      </w:r>
      <w:r>
        <w:rPr>
          <w:vertAlign w:val="subscript"/>
        </w:rPr>
        <w:t xml:space="preserve">hi</w:t>
      </w:r>
      <w:r>
        <w:t xml:space="preserve">] the mapping is logarithmic,</w:t>
      </w:r>
    </w:p>
    <w:p>
      <w:pPr>
        <w:pStyle w:val="Equation"/>
        <w:tabs>
          <w:tab w:val="clear" w:pos="4584"/>
          <w:tab w:val="right" w:pos="4800"/>
        </w:tabs>
        <w:ind w:left="100"/>
      </w:pPr>
      <w:r>
        <w:rPr>
          <w:i/>
        </w:rPr>
        <w:t xml:space="preserve">K</w:t>
      </w:r>
      <w:r>
        <w:rPr>
          <w:i w:val="0"/>
        </w:rPr>
        <w:t xml:space="preserve"> = </w:t>
      </w:r>
      <w:r>
        <w:rPr>
          <w:i/>
        </w:rPr>
        <w:t xml:space="preserve">K</w:t>
      </w:r>
      <w:r>
        <w:rPr>
          <w:i w:val="0"/>
          <w:vertAlign w:val="subscript"/>
        </w:rPr>
        <w:t xml:space="preserve">0</w:t>
      </w:r>
      <w:r>
        <w:rPr>
          <w:i w:val="0"/>
        </w:rPr>
        <w:t xml:space="preserve"> (</w:t>
      </w:r>
      <w:r>
        <w:rPr>
          <w:i/>
        </w:rPr>
        <w:t xml:space="preserve">K</w:t>
      </w:r>
      <w:r>
        <w:rPr>
          <w:i w:val="0"/>
          <w:vertAlign w:val="subscript"/>
        </w:rPr>
        <w:t xml:space="preserve">hi</w:t>
      </w:r>
      <w:r>
        <w:rPr>
          <w:i w:val="0"/>
        </w:rPr>
        <w:t xml:space="preserve">/</w:t>
      </w:r>
      <w:r>
        <w:rPr>
          <w:i/>
        </w:rPr>
        <w:t xml:space="preserve">K</w:t>
      </w:r>
      <w:r>
        <w:rPr>
          <w:i w:val="0"/>
          <w:vertAlign w:val="subscript"/>
        </w:rPr>
        <w:t xml:space="preserve">0</w:t>
      </w:r>
      <w:r>
        <w:rPr>
          <w:i w:val="0"/>
        </w:rPr>
        <w:t xml:space="preserve">)</w:t>
      </w:r>
      <w:r>
        <w:rPr>
          <w:i w:val="0"/>
          <w:vertAlign w:val="superscript"/>
        </w:rPr>
        <w:t xml:space="preserve">a</w:t>
      </w:r>
      <w:r>
        <w:tab/>
      </w:r>
      <w:r>
        <w:rPr>
          <w:i w:val="0"/>
        </w:rPr>
        <w:t>(9)</w:t>
      </w:r>
    </w:p>
    <w:p>
      <w:pPr>
        <w:pStyle w:val="PARA"/>
      </w:pPr>
      <w:r>
        <w:t xml:space="preserve">for </w:t>
      </w:r>
      <w:r>
        <w:rPr>
          <w:i/>
        </w:rPr>
        <w:t xml:space="preserve">a</w:t>
      </w:r>
      <w:r>
        <w:t xml:space="preserve"> ≥ 0; for </w:t>
      </w:r>
      <w:r>
        <w:rPr>
          <w:i/>
        </w:rPr>
        <w:t xml:space="preserve">a</w:t>
      </w:r>
      <w:r>
        <w:t xml:space="preserve"> &lt; 0, </w:t>
      </w:r>
      <w:r>
        <w:rPr>
          <w:i/>
        </w:rPr>
        <w:t xml:space="preserve">K</w:t>
      </w:r>
      <w:r>
        <w:rPr>
          <w:vertAlign w:val="subscript"/>
        </w:rPr>
        <w:t xml:space="preserve">hi</w:t>
      </w:r>
      <w:r>
        <w:t xml:space="preserve"> is replaced by </w:t>
      </w:r>
      <w:r>
        <w:rPr>
          <w:i/>
        </w:rPr>
        <w:t xml:space="preserve">K</w:t>
      </w:r>
      <w:r>
        <w:rPr>
          <w:vertAlign w:val="subscript"/>
        </w:rPr>
        <w:t xml:space="preserve">lo</w:t>
      </w:r>
      <w:r>
        <w:t xml:space="preserve"> and </w:t>
      </w:r>
      <w:r>
        <w:rPr>
          <w:i/>
        </w:rPr>
        <w:t xml:space="preserve">a</w:t>
      </w:r>
      <w:r>
        <w:t xml:space="preserve"> by −</w:t>
      </w:r>
      <w:r>
        <w:rPr>
          <w:i/>
        </w:rPr>
        <w:t xml:space="preserve">a</w:t>
      </w:r>
      <w:r>
        <w:t xml:space="preserve">. A zero action therefore reproduces the baseline exactly, which was verified bit for bit. The adaptive PID tunes (</w:t>
      </w:r>
      <w:r>
        <w:rPr>
          <w:i/>
        </w:rPr>
        <w:t xml:space="preserve">K</w:t>
      </w:r>
      <w:r>
        <w:rPr>
          <w:vertAlign w:val="subscript"/>
        </w:rPr>
        <w:t xml:space="preserve">p</w:t>
      </w:r>
      <w:r>
        <w:t xml:space="preserve">, </w:t>
      </w:r>
      <w:r>
        <w:rPr>
          <w:i/>
        </w:rPr>
        <w:t xml:space="preserve">K</w:t>
      </w:r>
      <w:r>
        <w:rPr>
          <w:vertAlign w:val="subscript"/>
        </w:rPr>
        <w:t xml:space="preserve">i</w:t>
      </w:r>
      <w:r>
        <w:t xml:space="preserve">, </w:t>
      </w:r>
      <w:r>
        <w:rPr>
          <w:i/>
        </w:rPr>
        <w:t xml:space="preserve">K</w:t>
      </w:r>
      <w:r>
        <w:rPr>
          <w:vertAlign w:val="subscript"/>
        </w:rPr>
        <w:t xml:space="preserve">d</w:t>
      </w:r>
      <w:r>
        <w:t xml:space="preserve">) and the adaptive SMC tunes (</w:t>
      </w:r>
      <w:r>
        <w:rPr>
          <w:i/>
        </w:rPr>
        <w:t xml:space="preserve">K</w:t>
      </w:r>
      <w:r>
        <w:rPr>
          <w:vertAlign w:val="subscript"/>
        </w:rPr>
        <w:t xml:space="preserve">v</w:t>
      </w:r>
      <w:r>
        <w:t xml:space="preserve">, </w:t>
      </w:r>
      <w:r>
        <w:rPr>
          <w:i/>
        </w:rPr>
        <w:t xml:space="preserve">K</w:t>
      </w:r>
      <w:r>
        <w:rPr>
          <w:vertAlign w:val="subscript"/>
        </w:rPr>
        <w:t xml:space="preserve">i</w:t>
      </w:r>
      <w:r>
        <w:t xml:space="preserve">, </w:t>
      </w:r>
      <w:r>
        <w:rPr>
          <w:i/>
        </w:rPr>
        <w:t xml:space="preserve">K</w:t>
      </w:r>
      <w:r>
        <w:t xml:space="preserve">, φ); their observations add the current parameters, the last duty and a recovery flag.</w:t>
      </w:r>
    </w:p>
    <w:p>
      <w:pPr>
        <w:pStyle w:val="FigureCaption"/>
        <w:keepNext/>
        <w:jc w:val="center"/>
      </w:pPr>
      <w:r>
        <w:drawing>
          <wp:inline distT="0" distB="0" distL="0" distR="0">
            <wp:extent cx="3017520" cy="2477068"/>
            <wp:effectExtent l="0" t="0" r="0" b="0"/>
            <wp:docPr id="101" name="Figure 1" descr="Adaptive controller: the network only tunes the baseline controller; safety layers and a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architecture.png" descr="Adaptive controller: the network only tunes the baseline controller; safety layers and a s"/>
                    <pic:cNvPicPr>
                      <a:picLocks noChangeAspect="1"/>
                    </pic:cNvPicPr>
                  </pic:nvPicPr>
                  <pic:blipFill>
                    <a:blip r:embed="rId101"/>
                    <a:stretch>
                      <a:fillRect/>
                    </a:stretch>
                  </pic:blipFill>
                  <pic:spPr>
                    <a:xfrm>
                      <a:off x="0" y="0"/>
                      <a:ext cx="3017520" cy="2477068"/>
                    </a:xfrm>
                    <a:prstGeom prst="rect">
                      <a:avLst/>
                    </a:prstGeom>
                  </pic:spPr>
                </pic:pic>
              </a:graphicData>
            </a:graphic>
          </wp:inline>
        </w:drawing>
      </w:r>
    </w:p>
    <w:p>
      <w:pPr>
        <w:pStyle w:val="FigCaption"/>
      </w:pPr>
      <w:r>
        <w:t xml:space="preserve">Adaptive controller: the network only tunes the baseline controller; safety layers and a supervisor can override it.</w:t>
      </w:r>
    </w:p>
    <w:p>
      <w:pPr>
        <w:pStyle w:val="H1ListSpace"/>
      </w:pPr>
      <w:r>
        <w:t xml:space="preserve">SAFETY MECHANISMS</w:t>
      </w:r>
    </w:p>
    <w:p>
      <w:pPr>
        <w:pStyle w:val="H2Cont"/>
        <w:numPr>
          <w:ilvl w:val="0"/>
          <w:numId w:val="105"/>
        </w:numPr>
      </w:pPr>
      <w:r>
        <w:t xml:space="preserve">CERTIFIED PARAMETER BOXES</w:t>
      </w:r>
    </w:p>
    <w:p>
      <w:pPr>
        <w:pStyle w:val="PARA"/>
      </w:pPr>
      <w:r>
        <w:t xml:space="preserve">The baseline PID lies in a narrow stable region. Table III shows the worst-case phase margin over the 27 operating points when gains are scaled: </w:t>
      </w:r>
      <w:r>
        <w:rPr>
          <w:i/>
        </w:rPr>
        <w:t xml:space="preserve">K</w:t>
      </w:r>
      <w:r>
        <w:rPr>
          <w:vertAlign w:val="subscript"/>
        </w:rPr>
        <w:t xml:space="preserve">i</w:t>
      </w:r>
      <w:r>
        <w:t xml:space="preserve"> × 1.5 leaves 18°, </w:t>
      </w:r>
      <w:r>
        <w:rPr>
          <w:i/>
        </w:rPr>
        <w:t xml:space="preserve">K</w:t>
      </w:r>
      <w:r>
        <w:rPr>
          <w:vertAlign w:val="subscript"/>
        </w:rPr>
        <w:t xml:space="preserve">i</w:t>
      </w:r>
      <w:r>
        <w:t xml:space="preserve"> × 2 and </w:t>
      </w:r>
      <w:r>
        <w:rPr>
          <w:i/>
        </w:rPr>
        <w:t xml:space="preserve">K</w:t>
      </w:r>
      <w:r>
        <w:rPr>
          <w:vertAlign w:val="subscript"/>
        </w:rPr>
        <w:t xml:space="preserve">d</w:t>
      </w:r>
      <w:r>
        <w:t xml:space="preserve"> × 0.5 are unstable, and moving all three gains together is far worse. A first adaptive version with a wide box (worst case 25° and 2.1 dB) let the trained agent drive </w:t>
      </w:r>
      <w:r>
        <w:rPr>
          <w:i/>
        </w:rPr>
        <w:t xml:space="preserve">K</w:t>
      </w:r>
      <w:r>
        <w:rPr>
          <w:vertAlign w:val="subscript"/>
        </w:rPr>
        <w:t xml:space="preserve">i</w:t>
      </w:r>
      <w:r>
        <w:t xml:space="preserve"> to its lower limit, which slowed the start-up settling from 11.5 ms to 37 ms. The final box (</w:t>
      </w:r>
      <w:r>
        <w:rPr>
          <w:i/>
        </w:rPr>
        <w:t xml:space="preserve">K</w:t>
      </w:r>
      <w:r>
        <w:rPr>
          <w:vertAlign w:val="subscript"/>
        </w:rPr>
        <w:t xml:space="preserve">p</w:t>
      </w:r>
      <w:r>
        <w:t xml:space="preserve"> × 0.7–1.5, </w:t>
      </w:r>
      <w:r>
        <w:rPr>
          <w:i/>
        </w:rPr>
        <w:t xml:space="preserve">K</w:t>
      </w:r>
      <w:r>
        <w:rPr>
          <w:vertAlign w:val="subscript"/>
        </w:rPr>
        <w:t xml:space="preserve">i</w:t>
      </w:r>
      <w:r>
        <w:t xml:space="preserve"> × 0.7–1.05, </w:t>
      </w:r>
      <w:r>
        <w:rPr>
          <w:i/>
        </w:rPr>
        <w:t xml:space="preserve">K</w:t>
      </w:r>
      <w:r>
        <w:rPr>
          <w:vertAlign w:val="subscript"/>
        </w:rPr>
        <w:t xml:space="preserve">d</w:t>
      </w:r>
      <w:r>
        <w:t xml:space="preserve"> × 0.9–1.2) is the largest found whose full 5 × 5 × 5 grid of gain combinations keeps at least 40° and 4 dB on every operating point (measured 40.3° and 4.2 dB). The code refuses ranges outside this certified box.</w:t>
      </w:r>
    </w:p>
    <w:p>
      <w:pPr>
        <w:pStyle w:val="TableTitle"/>
        <w:keepNext/>
        <w:spacing w:before="160"/>
      </w:pPr>
      <w:r>
        <w:t xml:space="preserve">TABLE III</w:t>
      </w:r>
    </w:p>
    <w:p>
      <w:pPr>
        <w:pStyle w:val="TableTitle"/>
        <w:keepNext/>
        <w:spacing w:after="60"/>
      </w:pPr>
      <w:r>
        <w:t xml:space="preserve">Worst-Case Phase Margin over 27 Operating Points</w:t>
      </w:r>
    </w:p>
    <w:tbl>
      <w:tblPr>
        <w:tblW w:w="470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3200"/>
        <w:gridCol w:w="1500"/>
      </w:tblGrid>
      <w:tr>
        <w:trPr>
          <w:cantSplit/>
          <w:tblHeader/>
        </w:trPr>
        <w:tc>
          <w:tcPr>
            <w:tcW w:w="320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Change to the baseline gains</w:t>
            </w:r>
          </w:p>
        </w:tc>
        <w:tc>
          <w:tcPr>
            <w:tcW w:w="15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Margin (deg)</w:t>
            </w:r>
          </w:p>
        </w:tc>
      </w:tr>
      <w:tr>
        <w:trPr>
          <w:cantSplit/>
        </w:trPr>
        <w:tc>
          <w:tcPr>
            <w:tcW w:w="3200" w:type="dxa"/>
            <w:tcBorders>
              <w:top w:val="nil"/>
              <w:left w:val="nil"/>
              <w:bottom w:val="nil"/>
              <w:right w:val="nil"/>
            </w:tcBorders>
            <w:vAlign w:val="center"/>
          </w:tcPr>
          <w:p>
            <w:pPr>
              <w:spacing w:before="20" w:after="20"/>
              <w:jc w:val="left"/>
            </w:pPr>
            <w:r>
              <w:rPr>
                <w:sz w:val="16"/>
                <w:szCs w:val="16"/>
              </w:rPr>
              <w:t xml:space="preserve">Baseline</w:t>
            </w:r>
          </w:p>
        </w:tc>
        <w:tc>
          <w:tcPr>
            <w:tcW w:w="1500" w:type="dxa"/>
            <w:tcBorders>
              <w:top w:val="nil"/>
              <w:left w:val="nil"/>
              <w:bottom w:val="nil"/>
              <w:right w:val="nil"/>
            </w:tcBorders>
            <w:vAlign w:val="center"/>
          </w:tcPr>
          <w:p>
            <w:pPr>
              <w:spacing w:before="20" w:after="20"/>
              <w:jc w:val="center"/>
            </w:pPr>
            <w:r>
              <w:rPr>
                <w:sz w:val="16"/>
                <w:szCs w:val="16"/>
              </w:rPr>
              <w:t xml:space="preserve">56.5</w:t>
            </w:r>
          </w:p>
        </w:tc>
      </w:tr>
      <w:tr>
        <w:trPr>
          <w:cantSplit/>
        </w:trPr>
        <w:tc>
          <w:tcPr>
            <w:tcW w:w="3200" w:type="dxa"/>
            <w:tcBorders>
              <w:top w:val="nil"/>
              <w:left w:val="nil"/>
              <w:bottom w:val="nil"/>
              <w:right w:val="nil"/>
            </w:tcBorders>
            <w:vAlign w:val="center"/>
          </w:tcPr>
          <w:p>
            <w:pPr>
              <w:spacing w:before="20" w:after="20"/>
              <w:jc w:val="left"/>
            </w:pPr>
            <w:r>
              <w:rPr>
                <w:i/>
                <w:sz w:val="16"/>
                <w:szCs w:val="16"/>
              </w:rPr>
              <w:t xml:space="preserve">K</w:t>
            </w:r>
            <w:r>
              <w:rPr>
                <w:sz w:val="16"/>
                <w:szCs w:val="16"/>
                <w:vertAlign w:val="subscript"/>
              </w:rPr>
              <w:t xml:space="preserve">i</w:t>
            </w:r>
            <w:r>
              <w:rPr>
                <w:sz w:val="16"/>
                <w:szCs w:val="16"/>
              </w:rPr>
              <w:t xml:space="preserve"> × 1.5</w:t>
            </w:r>
          </w:p>
        </w:tc>
        <w:tc>
          <w:tcPr>
            <w:tcW w:w="1500" w:type="dxa"/>
            <w:tcBorders>
              <w:top w:val="nil"/>
              <w:left w:val="nil"/>
              <w:bottom w:val="nil"/>
              <w:right w:val="nil"/>
            </w:tcBorders>
            <w:vAlign w:val="center"/>
          </w:tcPr>
          <w:p>
            <w:pPr>
              <w:spacing w:before="20" w:after="20"/>
              <w:jc w:val="center"/>
            </w:pPr>
            <w:r>
              <w:rPr>
                <w:sz w:val="16"/>
                <w:szCs w:val="16"/>
              </w:rPr>
              <w:t xml:space="preserve">18.2</w:t>
            </w:r>
          </w:p>
        </w:tc>
      </w:tr>
      <w:tr>
        <w:trPr>
          <w:cantSplit/>
        </w:trPr>
        <w:tc>
          <w:tcPr>
            <w:tcW w:w="3200" w:type="dxa"/>
            <w:tcBorders>
              <w:top w:val="nil"/>
              <w:left w:val="nil"/>
              <w:bottom w:val="nil"/>
              <w:right w:val="nil"/>
            </w:tcBorders>
            <w:vAlign w:val="center"/>
          </w:tcPr>
          <w:p>
            <w:pPr>
              <w:spacing w:before="20" w:after="20"/>
              <w:jc w:val="left"/>
            </w:pPr>
            <w:r>
              <w:rPr>
                <w:i/>
                <w:sz w:val="16"/>
                <w:szCs w:val="16"/>
              </w:rPr>
              <w:t xml:space="preserve">K</w:t>
            </w:r>
            <w:r>
              <w:rPr>
                <w:sz w:val="16"/>
                <w:szCs w:val="16"/>
                <w:vertAlign w:val="subscript"/>
              </w:rPr>
              <w:t xml:space="preserve">i</w:t>
            </w:r>
            <w:r>
              <w:rPr>
                <w:sz w:val="16"/>
                <w:szCs w:val="16"/>
              </w:rPr>
              <w:t xml:space="preserve"> × 2</w:t>
            </w:r>
          </w:p>
        </w:tc>
        <w:tc>
          <w:tcPr>
            <w:tcW w:w="1500" w:type="dxa"/>
            <w:tcBorders>
              <w:top w:val="nil"/>
              <w:left w:val="nil"/>
              <w:bottom w:val="nil"/>
              <w:right w:val="nil"/>
            </w:tcBorders>
            <w:vAlign w:val="center"/>
          </w:tcPr>
          <w:p>
            <w:pPr>
              <w:spacing w:before="20" w:after="20"/>
              <w:jc w:val="center"/>
            </w:pPr>
            <w:r>
              <w:rPr>
                <w:sz w:val="16"/>
                <w:szCs w:val="16"/>
              </w:rPr>
              <w:t xml:space="preserve">−24.3 (unstable)</w:t>
            </w:r>
          </w:p>
        </w:tc>
      </w:tr>
      <w:tr>
        <w:trPr>
          <w:cantSplit/>
        </w:trPr>
        <w:tc>
          <w:tcPr>
            <w:tcW w:w="3200" w:type="dxa"/>
            <w:tcBorders>
              <w:top w:val="nil"/>
              <w:left w:val="nil"/>
              <w:bottom w:val="nil"/>
              <w:right w:val="nil"/>
            </w:tcBorders>
            <w:vAlign w:val="center"/>
          </w:tcPr>
          <w:p>
            <w:pPr>
              <w:spacing w:before="20" w:after="20"/>
              <w:jc w:val="left"/>
            </w:pPr>
            <w:r>
              <w:rPr>
                <w:i/>
                <w:sz w:val="16"/>
                <w:szCs w:val="16"/>
              </w:rPr>
              <w:t xml:space="preserve">K</w:t>
            </w:r>
            <w:r>
              <w:rPr>
                <w:sz w:val="16"/>
                <w:szCs w:val="16"/>
                <w:vertAlign w:val="subscript"/>
              </w:rPr>
              <w:t xml:space="preserve">d</w:t>
            </w:r>
            <w:r>
              <w:rPr>
                <w:sz w:val="16"/>
                <w:szCs w:val="16"/>
              </w:rPr>
              <w:t xml:space="preserve"> × 0.7</w:t>
            </w:r>
          </w:p>
        </w:tc>
        <w:tc>
          <w:tcPr>
            <w:tcW w:w="1500" w:type="dxa"/>
            <w:tcBorders>
              <w:top w:val="nil"/>
              <w:left w:val="nil"/>
              <w:bottom w:val="nil"/>
              <w:right w:val="nil"/>
            </w:tcBorders>
            <w:vAlign w:val="center"/>
          </w:tcPr>
          <w:p>
            <w:pPr>
              <w:spacing w:before="20" w:after="20"/>
              <w:jc w:val="center"/>
            </w:pPr>
            <w:r>
              <w:rPr>
                <w:sz w:val="16"/>
                <w:szCs w:val="16"/>
              </w:rPr>
              <w:t xml:space="preserve">19.6</w:t>
            </w:r>
          </w:p>
        </w:tc>
      </w:tr>
      <w:tr>
        <w:trPr>
          <w:cantSplit/>
        </w:trPr>
        <w:tc>
          <w:tcPr>
            <w:tcW w:w="3200" w:type="dxa"/>
            <w:tcBorders>
              <w:top w:val="nil"/>
              <w:left w:val="nil"/>
              <w:bottom w:val="nil"/>
              <w:right w:val="nil"/>
            </w:tcBorders>
            <w:vAlign w:val="center"/>
          </w:tcPr>
          <w:p>
            <w:pPr>
              <w:spacing w:before="20" w:after="20"/>
              <w:jc w:val="left"/>
            </w:pPr>
            <w:r>
              <w:rPr>
                <w:i/>
                <w:sz w:val="16"/>
                <w:szCs w:val="16"/>
              </w:rPr>
              <w:t xml:space="preserve">K</w:t>
            </w:r>
            <w:r>
              <w:rPr>
                <w:sz w:val="16"/>
                <w:szCs w:val="16"/>
                <w:vertAlign w:val="subscript"/>
              </w:rPr>
              <w:t xml:space="preserve">d</w:t>
            </w:r>
            <w:r>
              <w:rPr>
                <w:sz w:val="16"/>
                <w:szCs w:val="16"/>
              </w:rPr>
              <w:t xml:space="preserve"> × 0.5</w:t>
            </w:r>
          </w:p>
        </w:tc>
        <w:tc>
          <w:tcPr>
            <w:tcW w:w="1500" w:type="dxa"/>
            <w:tcBorders>
              <w:top w:val="nil"/>
              <w:left w:val="nil"/>
              <w:bottom w:val="nil"/>
              <w:right w:val="nil"/>
            </w:tcBorders>
            <w:vAlign w:val="center"/>
          </w:tcPr>
          <w:p>
            <w:pPr>
              <w:spacing w:before="20" w:after="20"/>
              <w:jc w:val="center"/>
            </w:pPr>
            <w:r>
              <w:rPr>
                <w:sz w:val="16"/>
                <w:szCs w:val="16"/>
              </w:rPr>
              <w:t xml:space="preserve">−13.7 (unstable)</w:t>
            </w:r>
          </w:p>
        </w:tc>
      </w:tr>
      <w:tr>
        <w:trPr>
          <w:cantSplit/>
        </w:trPr>
        <w:tc>
          <w:tcPr>
            <w:tcW w:w="3200" w:type="dxa"/>
            <w:tcBorders>
              <w:top w:val="nil"/>
              <w:left w:val="nil"/>
              <w:bottom w:val="nil"/>
              <w:right w:val="nil"/>
            </w:tcBorders>
            <w:vAlign w:val="center"/>
          </w:tcPr>
          <w:p>
            <w:pPr>
              <w:spacing w:before="20" w:after="20"/>
              <w:jc w:val="left"/>
            </w:pPr>
            <w:r>
              <w:rPr>
                <w:sz w:val="16"/>
                <w:szCs w:val="16"/>
              </w:rPr>
              <w:t xml:space="preserve">All gains ×/÷ 1.25 (worst corner)</w:t>
            </w:r>
          </w:p>
        </w:tc>
        <w:tc>
          <w:tcPr>
            <w:tcW w:w="1500" w:type="dxa"/>
            <w:tcBorders>
              <w:top w:val="nil"/>
              <w:left w:val="nil"/>
              <w:bottom w:val="nil"/>
              <w:right w:val="nil"/>
            </w:tcBorders>
            <w:vAlign w:val="center"/>
          </w:tcPr>
          <w:p>
            <w:pPr>
              <w:spacing w:before="20" w:after="20"/>
              <w:jc w:val="center"/>
            </w:pPr>
            <w:r>
              <w:rPr>
                <w:sz w:val="16"/>
                <w:szCs w:val="16"/>
              </w:rPr>
              <w:t xml:space="preserve">3.8</w:t>
            </w:r>
          </w:p>
        </w:tc>
      </w:tr>
      <w:tr>
        <w:trPr>
          <w:cantSplit/>
        </w:trPr>
        <w:tc>
          <w:tcPr>
            <w:tcW w:w="3200" w:type="dxa"/>
            <w:tcBorders>
              <w:top w:val="nil"/>
              <w:left w:val="nil"/>
              <w:bottom w:val="nil"/>
              <w:right w:val="nil"/>
            </w:tcBorders>
            <w:vAlign w:val="center"/>
          </w:tcPr>
          <w:p>
            <w:pPr>
              <w:spacing w:before="20" w:after="20"/>
              <w:jc w:val="left"/>
            </w:pPr>
            <w:r>
              <w:rPr>
                <w:sz w:val="16"/>
                <w:szCs w:val="16"/>
              </w:rPr>
              <w:t xml:space="preserve">All gains ×/÷ 1.5</w:t>
            </w:r>
          </w:p>
        </w:tc>
        <w:tc>
          <w:tcPr>
            <w:tcW w:w="1500" w:type="dxa"/>
            <w:tcBorders>
              <w:top w:val="nil"/>
              <w:left w:val="nil"/>
              <w:bottom w:val="nil"/>
              <w:right w:val="nil"/>
            </w:tcBorders>
            <w:vAlign w:val="center"/>
          </w:tcPr>
          <w:p>
            <w:pPr>
              <w:spacing w:before="20" w:after="20"/>
              <w:jc w:val="center"/>
            </w:pPr>
            <w:r>
              <w:rPr>
                <w:sz w:val="16"/>
                <w:szCs w:val="16"/>
              </w:rPr>
              <w:t xml:space="preserve">−41.2</w:t>
            </w:r>
          </w:p>
        </w:tc>
      </w:tr>
      <w:tr>
        <w:trPr>
          <w:cantSplit/>
        </w:trPr>
        <w:tc>
          <w:tcPr>
            <w:tcW w:w="3200" w:type="dxa"/>
            <w:tcBorders>
              <w:top w:val="nil"/>
              <w:left w:val="nil"/>
              <w:bottom w:val="nil"/>
              <w:right w:val="nil"/>
            </w:tcBorders>
            <w:vAlign w:val="center"/>
          </w:tcPr>
          <w:p>
            <w:pPr>
              <w:spacing w:before="20" w:after="20"/>
              <w:jc w:val="left"/>
            </w:pPr>
            <w:r>
              <w:rPr>
                <w:sz w:val="16"/>
                <w:szCs w:val="16"/>
              </w:rPr>
              <w:t xml:space="preserve">All gains ×/÷ 2</w:t>
            </w:r>
          </w:p>
        </w:tc>
        <w:tc>
          <w:tcPr>
            <w:tcW w:w="1500" w:type="dxa"/>
            <w:tcBorders>
              <w:top w:val="nil"/>
              <w:left w:val="nil"/>
              <w:bottom w:val="nil"/>
              <w:right w:val="nil"/>
            </w:tcBorders>
            <w:vAlign w:val="center"/>
          </w:tcPr>
          <w:p>
            <w:pPr>
              <w:spacing w:before="20" w:after="20"/>
              <w:jc w:val="center"/>
            </w:pPr>
            <w:r>
              <w:rPr>
                <w:sz w:val="16"/>
                <w:szCs w:val="16"/>
              </w:rPr>
              <w:t xml:space="preserve">−72.6</w:t>
            </w:r>
          </w:p>
        </w:tc>
      </w:tr>
      <w:tr>
        <w:trPr>
          <w:cantSplit/>
        </w:trPr>
        <w:tc>
          <w:tcPr>
            <w:tcW w:w="3200" w:type="dxa"/>
            <w:tcBorders>
              <w:top w:val="nil"/>
              <w:left w:val="nil"/>
              <w:bottom w:val="nil"/>
              <w:right w:val="nil"/>
            </w:tcBorders>
            <w:vAlign w:val="center"/>
          </w:tcPr>
          <w:p>
            <w:pPr>
              <w:spacing w:before="20" w:after="20"/>
              <w:jc w:val="left"/>
            </w:pPr>
            <w:r>
              <w:rPr>
                <w:sz w:val="16"/>
                <w:szCs w:val="16"/>
              </w:rPr>
              <w:t xml:space="preserve">Certified box (worst grid point)</w:t>
            </w:r>
          </w:p>
        </w:tc>
        <w:tc>
          <w:tcPr>
            <w:tcW w:w="1500" w:type="dxa"/>
            <w:tcBorders>
              <w:top w:val="nil"/>
              <w:left w:val="nil"/>
              <w:bottom w:val="nil"/>
              <w:right w:val="nil"/>
            </w:tcBorders>
            <w:vAlign w:val="center"/>
          </w:tcPr>
          <w:p>
            <w:pPr>
              <w:spacing w:before="20" w:after="20"/>
              <w:jc w:val="center"/>
            </w:pPr>
            <w:r>
              <w:rPr>
                <w:sz w:val="16"/>
                <w:szCs w:val="16"/>
              </w:rPr>
              <w:t xml:space="preserve">40.3</w:t>
            </w:r>
          </w:p>
        </w:tc>
      </w:tr>
    </w:tbl>
    <w:p>
      <w:pPr>
        <w:spacing w:after="60"/>
        <w:rPr>
          <w:sz w:val="8"/>
        </w:rPr>
      </w:pPr>
    </w:p>
    <w:p>
      <w:pPr>
        <w:pStyle w:val="PARAIndent"/>
      </w:pPr>
      <w:r>
        <w:t xml:space="preserve">For the SMC no simple margin test exists, so candidate boxes were checked by closed-loop simulation from a cold start at every corner and mid-point on nine extreme operating points. Each plant was judged relative to the baseline SMC on that plant, because the diode pre-charge alone drives the cold-start output to 1.35–1.5 times the reference when </w:t>
      </w:r>
      <w:r>
        <w:rPr>
          <w:i/>
        </w:rPr>
        <w:t xml:space="preserve">V</w:t>
      </w:r>
      <w:r>
        <w:rPr>
          <w:vertAlign w:val="subscript"/>
        </w:rPr>
        <w:t xml:space="preserve">in</w:t>
      </w:r>
      <w:r>
        <w:t xml:space="preserve"> = 14 V and </w:t>
      </w:r>
      <w:r>
        <w:rPr>
          <w:i/>
        </w:rPr>
        <w:t xml:space="preserve">V</w:t>
      </w:r>
      <w:r>
        <w:rPr>
          <w:vertAlign w:val="subscript"/>
        </w:rPr>
        <w:t xml:space="preserve">ref</w:t>
      </w:r>
      <w:r>
        <w:t xml:space="preserve"> = 20 V whatever the controller does. The certified box (</w:t>
      </w:r>
      <w:r>
        <w:rPr>
          <w:i/>
        </w:rPr>
        <w:t xml:space="preserve">K</w:t>
      </w:r>
      <w:r>
        <w:rPr>
          <w:vertAlign w:val="subscript"/>
        </w:rPr>
        <w:t xml:space="preserve">v</w:t>
      </w:r>
      <w:r>
        <w:t xml:space="preserve">, </w:t>
      </w:r>
      <w:r>
        <w:rPr>
          <w:i/>
        </w:rPr>
        <w:t xml:space="preserve">K</w:t>
      </w:r>
      <w:r>
        <w:rPr>
          <w:vertAlign w:val="subscript"/>
        </w:rPr>
        <w:t xml:space="preserve">i</w:t>
      </w:r>
      <w:r>
        <w:t xml:space="preserve"> × 0.8–1.25, </w:t>
      </w:r>
      <w:r>
        <w:rPr>
          <w:i/>
        </w:rPr>
        <w:t xml:space="preserve">K</w:t>
      </w:r>
      <w:r>
        <w:t xml:space="preserve"> × 0.9–1.1, φ × 0.85–1.25, with </w:t>
      </w:r>
      <w:r>
        <w:rPr>
          <w:i/>
        </w:rPr>
        <w:t xml:space="preserve">K</w:t>
      </w:r>
      <w:r>
        <w:t xml:space="preserve">/φ ≤ 1.2 times its baseline) passed all 1,296 simulations; wider boxes failed some plants through slow settling or limit cycles. The active box is slightly tighter (φ × 0.9–1.15). These are model-based guarantees on a grid, not proofs for all conditions.</w:t>
      </w:r>
    </w:p>
    <w:p>
      <w:pPr>
        <w:pStyle w:val="H2Cont"/>
        <w:numPr>
          <w:ilvl w:val="0"/>
          <w:numId w:val="105"/>
        </w:numPr>
      </w:pPr>
      <w:r>
        <w:t xml:space="preserve">SMOOTHING AND SUPERVISION</w:t>
      </w:r>
    </w:p>
    <w:p>
      <w:pPr>
        <w:pStyle w:val="PARA"/>
      </w:pPr>
      <w:r>
        <w:t xml:space="preserve">Every proposed parameter set is clamped to the box, filtered (first-order, 0.1) and rate limited to 5 % per agent step, so parameters never jump. A supervisor running at the converter rate overrides the network when the low-pass filtered error stays above 2.5 V for 8 ms, the inductor current exceeds 12 A, or </w:t>
      </w:r>
      <w:r>
        <w:rPr>
          <w:i/>
        </w:rPr>
        <w:t xml:space="preserve">v</w:t>
      </w:r>
      <w:r>
        <w:rPr>
          <w:vertAlign w:val="subscript"/>
        </w:rPr>
        <w:t xml:space="preserve">out</w:t>
      </w:r>
      <w:r>
        <w:t xml:space="preserve"> exceeds 1.15 </w:t>
      </w:r>
      <w:r>
        <w:rPr>
          <w:i/>
        </w:rPr>
        <w:t xml:space="preserve">V</w:t>
      </w:r>
      <w:r>
        <w:rPr>
          <w:vertAlign w:val="subscript"/>
        </w:rPr>
        <w:t xml:space="preserve">ref</w:t>
      </w:r>
      <w:r>
        <w:t xml:space="preserve"> (the SMC version also detects sustained duty chatter). While engaged it ignores the network and returns the parameters to the baseline through the same rate limit; it releases once the error stays below 1 V for 5 ms. The baseline controllers keep their own anti-windup and duty limits.</w:t>
      </w:r>
    </w:p>
    <w:p>
      <w:pPr>
        <w:pStyle w:val="H1ListSpace"/>
      </w:pPr>
      <w:r>
        <w:t xml:space="preserve">EXPERIMENTAL SETUP</w:t>
      </w:r>
    </w:p>
    <w:p>
      <w:pPr>
        <w:pStyle w:val="PARA"/>
      </w:pPr>
      <w:r>
        <w:t xml:space="preserve">Every run starts from a cold start (</w:t>
      </w:r>
      <w:r>
        <w:rPr>
          <w:i/>
        </w:rPr>
        <w:t xml:space="preserve">v</w:t>
      </w:r>
      <w:r>
        <w:rPr>
          <w:vertAlign w:val="subscript"/>
        </w:rPr>
        <w:t xml:space="preserve">out</w:t>
      </w:r>
      <w:r>
        <w:t xml:space="preserve"> = </w:t>
      </w:r>
      <w:r>
        <w:rPr>
          <w:i/>
        </w:rPr>
        <w:t xml:space="preserve">i</w:t>
      </w:r>
      <w:r>
        <w:rPr>
          <w:vertAlign w:val="subscript"/>
        </w:rPr>
        <w:t xml:space="preserve">L</w:t>
      </w:r>
      <w:r>
        <w:t xml:space="preserve"> = 0) with </w:t>
      </w:r>
      <w:r>
        <w:rPr>
          <w:i/>
        </w:rPr>
        <w:t xml:space="preserve">V</w:t>
      </w:r>
      <w:r>
        <w:rPr>
          <w:vertAlign w:val="subscript"/>
        </w:rPr>
        <w:t xml:space="preserve">in</w:t>
      </w:r>
      <w:r>
        <w:t xml:space="preserve"> = 12 V, </w:t>
      </w:r>
      <w:r>
        <w:rPr>
          <w:i/>
        </w:rPr>
        <w:t xml:space="preserve">R</w:t>
      </w:r>
      <w:r>
        <w:t xml:space="preserve"> = 20 Ω and </w:t>
      </w:r>
      <w:r>
        <w:rPr>
          <w:i/>
        </w:rPr>
        <w:t xml:space="preserve">V</w:t>
      </w:r>
      <w:r>
        <w:rPr>
          <w:vertAlign w:val="subscript"/>
        </w:rPr>
        <w:t xml:space="preserve">ref</w:t>
      </w:r>
      <w:r>
        <w:t xml:space="preserve"> = 24 V, regulates until 150 ms, applies one disturbance and ends at 300 ms. The five scenarios are: nominal (no disturbance); </w:t>
      </w:r>
      <w:r>
        <w:rPr>
          <w:i/>
        </w:rPr>
        <w:t xml:space="preserve">V</w:t>
      </w:r>
      <w:r>
        <w:rPr>
          <w:vertAlign w:val="subscript"/>
        </w:rPr>
        <w:t xml:space="preserve">in</w:t>
      </w:r>
      <w:r>
        <w:t xml:space="preserve"> 12 → 10 V; </w:t>
      </w:r>
      <w:r>
        <w:rPr>
          <w:i/>
        </w:rPr>
        <w:t xml:space="preserve">V</w:t>
      </w:r>
      <w:r>
        <w:rPr>
          <w:vertAlign w:val="subscript"/>
        </w:rPr>
        <w:t xml:space="preserve">in</w:t>
      </w:r>
      <w:r>
        <w:t xml:space="preserve"> 12 → 14 V; </w:t>
      </w:r>
      <w:r>
        <w:rPr>
          <w:i/>
        </w:rPr>
        <w:t xml:space="preserve">R</w:t>
      </w:r>
      <w:r>
        <w:t xml:space="preserve"> 20 → 10 Ω; and </w:t>
      </w:r>
      <w:r>
        <w:rPr>
          <w:i/>
        </w:rPr>
        <w:t xml:space="preserve">R</w:t>
      </w:r>
      <w:r>
        <w:t xml:space="preserve"> 20 → 30 Ω. All controllers are recorded at every 50 µs converter step; RL policies are evaluated deterministically, and a protection trip is judged from the recorded waveform with the same limits for every controller. The metrics are the 2 % settling time, overshoot, start-up undershoot (the deepest dip after first reaching 90 %), steady-state error, RMS error, maximum deviation after the disturbance, recovery time (time until the output stays within ±2 %), mean absolute duty change per step, and extreme inductor currents. The RL controllers use three seeds, and results are reported as mean ± sample standard deviation. No ranking or composite score is computed.</w:t>
      </w:r>
    </w:p>
    <w:p>
      <w:pPr>
        <w:pStyle w:val="PARAIndent"/>
      </w:pPr>
      <w:r>
        <w:t xml:space="preserve">The software uses Python 3.12, NumPy, SciPy, Gymnasium 1.3.0, Stable-Baselines3 2.9.0 and PyTorch 2.14.1 [10]–[12]. Fixed seeds make training reproducible on one machine (identical weights for identical seeds), and the 228 automated tests include checks of the converter, controllers, environment, reward, safety limits and the evaluation pipeline.</w:t>
      </w:r>
    </w:p>
    <w:p>
      <w:pPr>
        <w:pStyle w:val="H1ListSpace"/>
      </w:pPr>
      <w:r>
        <w:t xml:space="preserve">RESULTS AND DISCUSSION</w:t>
      </w:r>
    </w:p>
    <w:p>
      <w:pPr>
        <w:pStyle w:val="H2Cont"/>
        <w:numPr>
          <w:ilvl w:val="0"/>
          <w:numId w:val="107"/>
        </w:numPr>
      </w:pPr>
      <w:r>
        <w:t xml:space="preserve">BASELINES</w:t>
      </w:r>
    </w:p>
    <w:p>
      <w:pPr>
        <w:pStyle w:val="PARA"/>
      </w:pPr>
      <w:r>
        <w:t xml:space="preserve">Table IV and Fig. 2 show the cold start. The PID settles in 11.5 ms with about 0 % overshoot; its output first rises to 24 V on the diode pre-charge surge and then dips to about 18.6 V (5.40 V) before settling. The SMC settles in 2.9 ms with 2.62 % overshoot and a 2.07 V dip. After input-voltage steps the SMC deviates far less (Table VI: 0.65 and 0.56 V against 3.40 and 3.00 V) and recovers faster (Table VII), whereas after load steps the two are similar and the PID is slightly better (1.94 and 0.64 V against 2.09 and 0.80 V). The comparison is not like for like: the SMC senses the inductor current and its law encodes the boost structure, while the PID uses only </w:t>
      </w:r>
      <w:r>
        <w:rPr>
          <w:i/>
        </w:rPr>
        <w:t xml:space="preserve">v</w:t>
      </w:r>
      <w:r>
        <w:rPr>
          <w:vertAlign w:val="subscript"/>
        </w:rPr>
        <w:t xml:space="preserve">out</w:t>
      </w:r>
      <w:r>
        <w:t xml:space="preserve">.</w:t>
      </w:r>
    </w:p>
    <w:p>
      <w:pPr>
        <w:pStyle w:val="TableTitle"/>
        <w:keepNext/>
        <w:spacing w:before="160"/>
      </w:pPr>
      <w:r>
        <w:t xml:space="preserve">TABLE IV</w:t>
      </w:r>
    </w:p>
    <w:p>
      <w:pPr>
        <w:pStyle w:val="TableTitle"/>
        <w:keepNext/>
        <w:spacing w:after="60"/>
      </w:pPr>
      <w:r>
        <w:t xml:space="preserve">Cold-Start Metrics, Nominal Scenario (RL: Mean ± Std over 3 Seeds)</w:t>
      </w:r>
    </w:p>
    <w:tbl>
      <w:tblPr>
        <w:tblW w:w="470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1150"/>
        <w:gridCol w:w="900"/>
        <w:gridCol w:w="950"/>
        <w:gridCol w:w="850"/>
        <w:gridCol w:w="850"/>
      </w:tblGrid>
      <w:tr>
        <w:trPr>
          <w:cantSplit/>
          <w:tblHeader/>
        </w:trPr>
        <w:tc>
          <w:tcPr>
            <w:tcW w:w="115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Controller</w:t>
            </w:r>
          </w:p>
        </w:tc>
        <w:tc>
          <w:tcPr>
            <w:tcW w:w="90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t</w:t>
            </w:r>
            <w:r>
              <w:rPr>
                <w:sz w:val="16"/>
                <w:szCs w:val="16"/>
                <w:vertAlign w:val="subscript"/>
              </w:rPr>
              <w:t xml:space="preserve">s</w:t>
            </w:r>
            <w:r>
              <w:rPr>
                <w:sz w:val="16"/>
                <w:szCs w:val="16"/>
              </w:rPr>
              <w:t xml:space="preserve"> (ms)</w:t>
            </w:r>
          </w:p>
        </w:tc>
        <w:tc>
          <w:tcPr>
            <w:tcW w:w="95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Overshoot (%)</w:t>
            </w:r>
          </w:p>
        </w:tc>
        <w:tc>
          <w:tcPr>
            <w:tcW w:w="85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Dip (V)</w:t>
            </w:r>
          </w:p>
        </w:tc>
        <w:tc>
          <w:tcPr>
            <w:tcW w:w="85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RMSE (V)</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PID</w:t>
            </w:r>
          </w:p>
        </w:tc>
        <w:tc>
          <w:tcPr>
            <w:tcW w:w="900" w:type="dxa"/>
            <w:tcBorders>
              <w:top w:val="nil"/>
              <w:left w:val="nil"/>
              <w:bottom w:val="nil"/>
              <w:right w:val="nil"/>
            </w:tcBorders>
            <w:vAlign w:val="center"/>
          </w:tcPr>
          <w:p>
            <w:pPr>
              <w:spacing w:before="20" w:after="20"/>
              <w:jc w:val="center"/>
            </w:pPr>
            <w:r>
              <w:rPr>
                <w:sz w:val="16"/>
                <w:szCs w:val="16"/>
              </w:rPr>
              <w:t xml:space="preserve">11.5</w:t>
            </w:r>
          </w:p>
        </w:tc>
        <w:tc>
          <w:tcPr>
            <w:tcW w:w="950" w:type="dxa"/>
            <w:tcBorders>
              <w:top w:val="nil"/>
              <w:left w:val="nil"/>
              <w:bottom w:val="nil"/>
              <w:right w:val="nil"/>
            </w:tcBorders>
            <w:vAlign w:val="center"/>
          </w:tcPr>
          <w:p>
            <w:pPr>
              <w:spacing w:before="20" w:after="20"/>
              <w:jc w:val="center"/>
            </w:pPr>
            <w:r>
              <w:rPr>
                <w:sz w:val="16"/>
                <w:szCs w:val="16"/>
              </w:rPr>
              <w:t xml:space="preserve">≈ 0</w:t>
            </w:r>
          </w:p>
        </w:tc>
        <w:tc>
          <w:tcPr>
            <w:tcW w:w="850" w:type="dxa"/>
            <w:tcBorders>
              <w:top w:val="nil"/>
              <w:left w:val="nil"/>
              <w:bottom w:val="nil"/>
              <w:right w:val="nil"/>
            </w:tcBorders>
            <w:vAlign w:val="center"/>
          </w:tcPr>
          <w:p>
            <w:pPr>
              <w:spacing w:before="20" w:after="20"/>
              <w:jc w:val="center"/>
            </w:pPr>
            <w:r>
              <w:rPr>
                <w:sz w:val="16"/>
                <w:szCs w:val="16"/>
              </w:rPr>
              <w:t xml:space="preserve">5.40</w:t>
            </w:r>
          </w:p>
        </w:tc>
        <w:tc>
          <w:tcPr>
            <w:tcW w:w="850" w:type="dxa"/>
            <w:tcBorders>
              <w:top w:val="nil"/>
              <w:left w:val="nil"/>
              <w:bottom w:val="nil"/>
              <w:right w:val="nil"/>
            </w:tcBorders>
            <w:vAlign w:val="center"/>
          </w:tcPr>
          <w:p>
            <w:pPr>
              <w:spacing w:before="20" w:after="20"/>
              <w:jc w:val="center"/>
            </w:pPr>
            <w:r>
              <w:rPr>
                <w:sz w:val="16"/>
                <w:szCs w:val="16"/>
              </w:rPr>
              <w:t xml:space="preserve">1.375</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SMC</w:t>
            </w:r>
          </w:p>
        </w:tc>
        <w:tc>
          <w:tcPr>
            <w:tcW w:w="900" w:type="dxa"/>
            <w:tcBorders>
              <w:top w:val="nil"/>
              <w:left w:val="nil"/>
              <w:bottom w:val="nil"/>
              <w:right w:val="nil"/>
            </w:tcBorders>
            <w:vAlign w:val="center"/>
          </w:tcPr>
          <w:p>
            <w:pPr>
              <w:spacing w:before="20" w:after="20"/>
              <w:jc w:val="center"/>
            </w:pPr>
            <w:r>
              <w:rPr>
                <w:sz w:val="16"/>
                <w:szCs w:val="16"/>
              </w:rPr>
              <w:t xml:space="preserve">2.9</w:t>
            </w:r>
          </w:p>
        </w:tc>
        <w:tc>
          <w:tcPr>
            <w:tcW w:w="950" w:type="dxa"/>
            <w:tcBorders>
              <w:top w:val="nil"/>
              <w:left w:val="nil"/>
              <w:bottom w:val="nil"/>
              <w:right w:val="nil"/>
            </w:tcBorders>
            <w:vAlign w:val="center"/>
          </w:tcPr>
          <w:p>
            <w:pPr>
              <w:spacing w:before="20" w:after="20"/>
              <w:jc w:val="center"/>
            </w:pPr>
            <w:r>
              <w:rPr>
                <w:sz w:val="16"/>
                <w:szCs w:val="16"/>
              </w:rPr>
              <w:t xml:space="preserve">2.62</w:t>
            </w:r>
          </w:p>
        </w:tc>
        <w:tc>
          <w:tcPr>
            <w:tcW w:w="850" w:type="dxa"/>
            <w:tcBorders>
              <w:top w:val="nil"/>
              <w:left w:val="nil"/>
              <w:bottom w:val="nil"/>
              <w:right w:val="nil"/>
            </w:tcBorders>
            <w:vAlign w:val="center"/>
          </w:tcPr>
          <w:p>
            <w:pPr>
              <w:spacing w:before="20" w:after="20"/>
              <w:jc w:val="center"/>
            </w:pPr>
            <w:r>
              <w:rPr>
                <w:sz w:val="16"/>
                <w:szCs w:val="16"/>
              </w:rPr>
              <w:t xml:space="preserve">2.06</w:t>
            </w:r>
          </w:p>
        </w:tc>
        <w:tc>
          <w:tcPr>
            <w:tcW w:w="850" w:type="dxa"/>
            <w:tcBorders>
              <w:top w:val="nil"/>
              <w:left w:val="nil"/>
              <w:bottom w:val="nil"/>
              <w:right w:val="nil"/>
            </w:tcBorders>
            <w:vAlign w:val="center"/>
          </w:tcPr>
          <w:p>
            <w:pPr>
              <w:spacing w:before="20" w:after="20"/>
              <w:jc w:val="center"/>
            </w:pPr>
            <w:r>
              <w:rPr>
                <w:sz w:val="16"/>
                <w:szCs w:val="16"/>
              </w:rPr>
              <w:t xml:space="preserve">1.256</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Direct TD3</w:t>
            </w:r>
          </w:p>
        </w:tc>
        <w:tc>
          <w:tcPr>
            <w:tcW w:w="900" w:type="dxa"/>
            <w:tcBorders>
              <w:top w:val="nil"/>
              <w:left w:val="nil"/>
              <w:bottom w:val="nil"/>
              <w:right w:val="nil"/>
            </w:tcBorders>
            <w:vAlign w:val="center"/>
          </w:tcPr>
          <w:p>
            <w:pPr>
              <w:spacing w:before="20" w:after="20"/>
              <w:jc w:val="center"/>
            </w:pPr>
            <w:r>
              <w:rPr>
                <w:sz w:val="16"/>
                <w:szCs w:val="16"/>
              </w:rPr>
              <w:t xml:space="preserve">11.2±14.4</w:t>
            </w:r>
          </w:p>
        </w:tc>
        <w:tc>
          <w:tcPr>
            <w:tcW w:w="950" w:type="dxa"/>
            <w:tcBorders>
              <w:top w:val="nil"/>
              <w:left w:val="nil"/>
              <w:bottom w:val="nil"/>
              <w:right w:val="nil"/>
            </w:tcBorders>
            <w:vAlign w:val="center"/>
          </w:tcPr>
          <w:p>
            <w:pPr>
              <w:spacing w:before="20" w:after="20"/>
              <w:jc w:val="center"/>
            </w:pPr>
            <w:r>
              <w:rPr>
                <w:sz w:val="16"/>
                <w:szCs w:val="16"/>
              </w:rPr>
              <w:t xml:space="preserve">3.31±0.07</w:t>
            </w:r>
          </w:p>
        </w:tc>
        <w:tc>
          <w:tcPr>
            <w:tcW w:w="850" w:type="dxa"/>
            <w:tcBorders>
              <w:top w:val="nil"/>
              <w:left w:val="nil"/>
              <w:bottom w:val="nil"/>
              <w:right w:val="nil"/>
            </w:tcBorders>
            <w:vAlign w:val="center"/>
          </w:tcPr>
          <w:p>
            <w:pPr>
              <w:spacing w:before="20" w:after="20"/>
              <w:jc w:val="center"/>
            </w:pPr>
            <w:r>
              <w:rPr>
                <w:sz w:val="16"/>
                <w:szCs w:val="16"/>
              </w:rPr>
              <w:t xml:space="preserve">2.23±0.21</w:t>
            </w:r>
          </w:p>
        </w:tc>
        <w:tc>
          <w:tcPr>
            <w:tcW w:w="850" w:type="dxa"/>
            <w:tcBorders>
              <w:top w:val="nil"/>
              <w:left w:val="nil"/>
              <w:bottom w:val="nil"/>
              <w:right w:val="nil"/>
            </w:tcBorders>
            <w:vAlign w:val="center"/>
          </w:tcPr>
          <w:p>
            <w:pPr>
              <w:spacing w:before="20" w:after="20"/>
              <w:jc w:val="center"/>
            </w:pPr>
            <w:r>
              <w:rPr>
                <w:sz w:val="16"/>
                <w:szCs w:val="16"/>
              </w:rPr>
              <w:t xml:space="preserve">1.264±0.011</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PID</w:t>
            </w:r>
          </w:p>
        </w:tc>
        <w:tc>
          <w:tcPr>
            <w:tcW w:w="900" w:type="dxa"/>
            <w:tcBorders>
              <w:top w:val="nil"/>
              <w:left w:val="nil"/>
              <w:bottom w:val="nil"/>
              <w:right w:val="nil"/>
            </w:tcBorders>
            <w:vAlign w:val="center"/>
          </w:tcPr>
          <w:p>
            <w:pPr>
              <w:spacing w:before="20" w:after="20"/>
              <w:jc w:val="center"/>
            </w:pPr>
            <w:r>
              <w:rPr>
                <w:sz w:val="16"/>
                <w:szCs w:val="16"/>
              </w:rPr>
              <w:t xml:space="preserve">12.1±2.1</w:t>
            </w:r>
          </w:p>
        </w:tc>
        <w:tc>
          <w:tcPr>
            <w:tcW w:w="950" w:type="dxa"/>
            <w:tcBorders>
              <w:top w:val="nil"/>
              <w:left w:val="nil"/>
              <w:bottom w:val="nil"/>
              <w:right w:val="nil"/>
            </w:tcBorders>
            <w:vAlign w:val="center"/>
          </w:tcPr>
          <w:p>
            <w:pPr>
              <w:spacing w:before="20" w:after="20"/>
              <w:jc w:val="center"/>
            </w:pPr>
            <w:r>
              <w:rPr>
                <w:sz w:val="16"/>
                <w:szCs w:val="16"/>
              </w:rPr>
              <w:t xml:space="preserve">≈ 0</w:t>
            </w:r>
          </w:p>
        </w:tc>
        <w:tc>
          <w:tcPr>
            <w:tcW w:w="850" w:type="dxa"/>
            <w:tcBorders>
              <w:top w:val="nil"/>
              <w:left w:val="nil"/>
              <w:bottom w:val="nil"/>
              <w:right w:val="nil"/>
            </w:tcBorders>
            <w:vAlign w:val="center"/>
          </w:tcPr>
          <w:p>
            <w:pPr>
              <w:spacing w:before="20" w:after="20"/>
              <w:jc w:val="center"/>
            </w:pPr>
            <w:r>
              <w:rPr>
                <w:sz w:val="16"/>
                <w:szCs w:val="16"/>
              </w:rPr>
              <w:t xml:space="preserve">5.13±0.06</w:t>
            </w:r>
          </w:p>
        </w:tc>
        <w:tc>
          <w:tcPr>
            <w:tcW w:w="850" w:type="dxa"/>
            <w:tcBorders>
              <w:top w:val="nil"/>
              <w:left w:val="nil"/>
              <w:bottom w:val="nil"/>
              <w:right w:val="nil"/>
            </w:tcBorders>
            <w:vAlign w:val="center"/>
          </w:tcPr>
          <w:p>
            <w:pPr>
              <w:spacing w:before="20" w:after="20"/>
              <w:jc w:val="center"/>
            </w:pPr>
            <w:r>
              <w:rPr>
                <w:sz w:val="16"/>
                <w:szCs w:val="16"/>
              </w:rPr>
              <w:t xml:space="preserve">1.365±0.007</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SMC</w:t>
            </w:r>
          </w:p>
        </w:tc>
        <w:tc>
          <w:tcPr>
            <w:tcW w:w="900" w:type="dxa"/>
            <w:tcBorders>
              <w:top w:val="nil"/>
              <w:left w:val="nil"/>
              <w:bottom w:val="nil"/>
              <w:right w:val="nil"/>
            </w:tcBorders>
            <w:vAlign w:val="center"/>
          </w:tcPr>
          <w:p>
            <w:pPr>
              <w:spacing w:before="20" w:after="20"/>
              <w:jc w:val="center"/>
            </w:pPr>
            <w:r>
              <w:rPr>
                <w:sz w:val="16"/>
                <w:szCs w:val="16"/>
              </w:rPr>
              <w:t xml:space="preserve">5.1±1.9</w:t>
            </w:r>
          </w:p>
        </w:tc>
        <w:tc>
          <w:tcPr>
            <w:tcW w:w="950" w:type="dxa"/>
            <w:tcBorders>
              <w:top w:val="nil"/>
              <w:left w:val="nil"/>
              <w:bottom w:val="nil"/>
              <w:right w:val="nil"/>
            </w:tcBorders>
            <w:vAlign w:val="center"/>
          </w:tcPr>
          <w:p>
            <w:pPr>
              <w:spacing w:before="20" w:after="20"/>
              <w:jc w:val="center"/>
            </w:pPr>
            <w:r>
              <w:rPr>
                <w:sz w:val="16"/>
                <w:szCs w:val="16"/>
              </w:rPr>
              <w:t xml:space="preserve">3.41±0.38</w:t>
            </w:r>
          </w:p>
        </w:tc>
        <w:tc>
          <w:tcPr>
            <w:tcW w:w="850" w:type="dxa"/>
            <w:tcBorders>
              <w:top w:val="nil"/>
              <w:left w:val="nil"/>
              <w:bottom w:val="nil"/>
              <w:right w:val="nil"/>
            </w:tcBorders>
            <w:vAlign w:val="center"/>
          </w:tcPr>
          <w:p>
            <w:pPr>
              <w:spacing w:before="20" w:after="20"/>
              <w:jc w:val="center"/>
            </w:pPr>
            <w:r>
              <w:rPr>
                <w:sz w:val="16"/>
                <w:szCs w:val="16"/>
              </w:rPr>
              <w:t xml:space="preserve">2.00±0.02</w:t>
            </w:r>
          </w:p>
        </w:tc>
        <w:tc>
          <w:tcPr>
            <w:tcW w:w="850" w:type="dxa"/>
            <w:tcBorders>
              <w:top w:val="nil"/>
              <w:left w:val="nil"/>
              <w:bottom w:val="nil"/>
              <w:right w:val="nil"/>
            </w:tcBorders>
            <w:vAlign w:val="center"/>
          </w:tcPr>
          <w:p>
            <w:pPr>
              <w:spacing w:before="20" w:after="20"/>
              <w:jc w:val="center"/>
            </w:pPr>
            <w:r>
              <w:rPr>
                <w:sz w:val="16"/>
                <w:szCs w:val="16"/>
              </w:rPr>
              <w:t xml:space="preserve">1.259±0.001</w:t>
            </w:r>
          </w:p>
        </w:tc>
      </w:tr>
    </w:tbl>
    <w:p>
      <w:pPr>
        <w:spacing w:after="60"/>
        <w:rPr>
          <w:sz w:val="8"/>
        </w:rPr>
      </w:pPr>
    </w:p>
    <w:p>
      <w:pPr>
        <w:pStyle w:val="H2Cont"/>
        <w:numPr>
          <w:ilvl w:val="0"/>
          <w:numId w:val="107"/>
        </w:numPr>
      </w:pPr>
      <w:r>
        <w:t xml:space="preserve">REINFORCEMENT-LEARNING CONTROLLERS</w:t>
      </w:r>
    </w:p>
    <w:p>
      <w:pPr>
        <w:pStyle w:val="PARA"/>
      </w:pPr>
      <w:r>
        <w:t xml:space="preserve">Direct TD3 learned far more than a 5,000-step trial suggested. Its cold-start RMSE (1.264 V) is within 1 % of the fixed SMC’s, and its mean peak deviation is the smallest of all five controllers after all four disturbances (Table VI), although after </w:t>
      </w:r>
      <w:r>
        <w:rPr>
          <w:i/>
        </w:rPr>
        <w:t xml:space="preserve">R</w:t>
      </w:r>
      <w:r>
        <w:t xml:space="preserve"> 20 → 10 Ω the margin (1.85 V against 1.94 V for the PID) lies within its seed spread (±0.21 V). It has no integral action and leaves offsets of up to 0.18 V, and its recovery after </w:t>
      </w:r>
      <w:r>
        <w:rPr>
          <w:i/>
        </w:rPr>
        <w:t xml:space="preserve">R</w:t>
      </w:r>
      <w:r>
        <w:t xml:space="preserve"> 20 → 10 Ω is slow (Table VII). The price is control activity: its mean duty change per step is 25–49 times the SMC’s and 35–67 times the PID’s (Table V). Fig. 3 shows why: after disturbances, some seeds fall into intermittent duty-cycle oscillations with a peak-to-peak amplitude of up to 0.4 (for example </w:t>
      </w:r>
      <w:r>
        <w:rPr>
          <w:i/>
        </w:rPr>
        <w:t xml:space="preserve">R</w:t>
      </w:r>
      <w:r>
        <w:t xml:space="preserve"> 20 → 10 Ω, seed 2, still oscillating at the end of the run), while the duty cycle is perfectly flat in the undisturbed nominal run for all seeds. Seeds differ strongly: the nominal settling time is 3.0, 27.9 and 2.7 ms.</w:t>
      </w:r>
    </w:p>
    <w:p>
      <w:pPr>
        <w:pStyle w:val="TableTitle"/>
        <w:keepNext/>
        <w:spacing w:before="160"/>
      </w:pPr>
      <w:r>
        <w:t xml:space="preserve">TABLE V</w:t>
      </w:r>
    </w:p>
    <w:p>
      <w:pPr>
        <w:pStyle w:val="TableTitle"/>
        <w:keepNext/>
        <w:spacing w:after="60"/>
      </w:pPr>
      <w:r>
        <w:t xml:space="preserve">Control Activity, Current and Protection Trips</w:t>
      </w:r>
    </w:p>
    <w:tbl>
      <w:tblPr>
        <w:tblW w:w="470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1250"/>
        <w:gridCol w:w="1550"/>
        <w:gridCol w:w="1100"/>
        <w:gridCol w:w="800"/>
      </w:tblGrid>
      <w:tr>
        <w:trPr>
          <w:cantSplit/>
          <w:tblHeader/>
        </w:trPr>
        <w:tc>
          <w:tcPr>
            <w:tcW w:w="125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Controller</w:t>
            </w:r>
          </w:p>
        </w:tc>
        <w:tc>
          <w:tcPr>
            <w:tcW w:w="155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Duty change (×10⁻⁴)</w:t>
            </w:r>
          </w:p>
        </w:tc>
        <w:tc>
          <w:tcPr>
            <w:tcW w:w="11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Peak </w:t>
            </w:r>
            <w:r>
              <w:rPr>
                <w:i/>
                <w:sz w:val="16"/>
                <w:szCs w:val="16"/>
              </w:rPr>
              <w:t xml:space="preserve">i</w:t>
            </w:r>
            <w:r>
              <w:rPr>
                <w:sz w:val="16"/>
                <w:szCs w:val="16"/>
                <w:vertAlign w:val="subscript"/>
              </w:rPr>
              <w:t xml:space="preserve">L</w:t>
            </w:r>
            <w:r>
              <w:rPr>
                <w:sz w:val="16"/>
                <w:szCs w:val="16"/>
              </w:rPr>
              <w:t xml:space="preserve"> (A)</w:t>
            </w:r>
          </w:p>
        </w:tc>
        <w:tc>
          <w:tcPr>
            <w:tcW w:w="800" w:type="dxa"/>
            <w:tcBorders>
              <w:top w:val="double" w:sz="6" w:space="0" w:color="auto"/>
              <w:left w:val="nil"/>
              <w:bottom w:val="single" w:sz="6" w:space="0" w:color="auto"/>
              <w:right w:val="nil"/>
            </w:tcBorders>
            <w:vAlign w:val="center"/>
          </w:tcPr>
          <w:p>
            <w:pPr>
              <w:spacing w:before="20" w:after="20"/>
              <w:jc w:val="center"/>
            </w:pPr>
            <w:r>
              <w:rPr>
                <w:sz w:val="16"/>
                <w:szCs w:val="16"/>
              </w:rPr>
              <w:t xml:space="preserve">Trips</w:t>
            </w:r>
          </w:p>
        </w:tc>
      </w:tr>
      <w:tr>
        <w:trPr>
          <w:cantSplit/>
        </w:trPr>
        <w:tc>
          <w:tcPr>
            <w:tcW w:w="1250" w:type="dxa"/>
            <w:tcBorders>
              <w:top w:val="nil"/>
              <w:left w:val="nil"/>
              <w:bottom w:val="nil"/>
              <w:right w:val="nil"/>
            </w:tcBorders>
            <w:vAlign w:val="center"/>
          </w:tcPr>
          <w:p>
            <w:pPr>
              <w:spacing w:before="20" w:after="20"/>
              <w:jc w:val="left"/>
            </w:pPr>
            <w:r>
              <w:rPr>
                <w:sz w:val="16"/>
                <w:szCs w:val="16"/>
              </w:rPr>
              <w:t xml:space="preserve">Fixed PID</w:t>
            </w:r>
          </w:p>
        </w:tc>
        <w:tc>
          <w:tcPr>
            <w:tcW w:w="1550" w:type="dxa"/>
            <w:tcBorders>
              <w:top w:val="nil"/>
              <w:left w:val="nil"/>
              <w:bottom w:val="nil"/>
              <w:right w:val="nil"/>
            </w:tcBorders>
            <w:vAlign w:val="center"/>
          </w:tcPr>
          <w:p>
            <w:pPr>
              <w:spacing w:before="20" w:after="20"/>
              <w:jc w:val="center"/>
            </w:pPr>
            <w:r>
              <w:rPr>
                <w:sz w:val="16"/>
                <w:szCs w:val="16"/>
              </w:rPr>
              <w:t xml:space="preserve">1.0–1.3</w:t>
            </w:r>
          </w:p>
        </w:tc>
        <w:tc>
          <w:tcPr>
            <w:tcW w:w="1100" w:type="dxa"/>
            <w:tcBorders>
              <w:top w:val="nil"/>
              <w:left w:val="nil"/>
              <w:bottom w:val="nil"/>
              <w:right w:val="nil"/>
            </w:tcBorders>
            <w:vAlign w:val="center"/>
          </w:tcPr>
          <w:p>
            <w:pPr>
              <w:spacing w:before="20" w:after="20"/>
              <w:jc w:val="center"/>
            </w:pPr>
            <w:r>
              <w:rPr>
                <w:sz w:val="16"/>
                <w:szCs w:val="16"/>
              </w:rPr>
              <w:t xml:space="preserve">8.88</w:t>
            </w:r>
          </w:p>
        </w:tc>
        <w:tc>
          <w:tcPr>
            <w:tcW w:w="800" w:type="dxa"/>
            <w:tcBorders>
              <w:top w:val="nil"/>
              <w:left w:val="nil"/>
              <w:bottom w:val="nil"/>
              <w:right w:val="nil"/>
            </w:tcBorders>
            <w:vAlign w:val="center"/>
          </w:tcPr>
          <w:p>
            <w:pPr>
              <w:spacing w:before="20" w:after="20"/>
              <w:jc w:val="center"/>
            </w:pPr>
            <w:r>
              <w:rPr>
                <w:sz w:val="16"/>
                <w:szCs w:val="16"/>
              </w:rPr>
              <w:t xml:space="preserve">0/5</w:t>
            </w:r>
          </w:p>
        </w:tc>
      </w:tr>
      <w:tr>
        <w:trPr>
          <w:cantSplit/>
        </w:trPr>
        <w:tc>
          <w:tcPr>
            <w:tcW w:w="1250" w:type="dxa"/>
            <w:tcBorders>
              <w:top w:val="nil"/>
              <w:left w:val="nil"/>
              <w:bottom w:val="nil"/>
              <w:right w:val="nil"/>
            </w:tcBorders>
            <w:vAlign w:val="center"/>
          </w:tcPr>
          <w:p>
            <w:pPr>
              <w:spacing w:before="20" w:after="20"/>
              <w:jc w:val="left"/>
            </w:pPr>
            <w:r>
              <w:rPr>
                <w:sz w:val="16"/>
                <w:szCs w:val="16"/>
              </w:rPr>
              <w:t xml:space="preserve">Fixed SMC</w:t>
            </w:r>
          </w:p>
        </w:tc>
        <w:tc>
          <w:tcPr>
            <w:tcW w:w="1550" w:type="dxa"/>
            <w:tcBorders>
              <w:top w:val="nil"/>
              <w:left w:val="nil"/>
              <w:bottom w:val="nil"/>
              <w:right w:val="nil"/>
            </w:tcBorders>
            <w:vAlign w:val="center"/>
          </w:tcPr>
          <w:p>
            <w:pPr>
              <w:spacing w:before="20" w:after="20"/>
              <w:jc w:val="center"/>
            </w:pPr>
            <w:r>
              <w:rPr>
                <w:sz w:val="16"/>
                <w:szCs w:val="16"/>
              </w:rPr>
              <w:t xml:space="preserve">1.5–1.8</w:t>
            </w:r>
          </w:p>
        </w:tc>
        <w:tc>
          <w:tcPr>
            <w:tcW w:w="1100" w:type="dxa"/>
            <w:tcBorders>
              <w:top w:val="nil"/>
              <w:left w:val="nil"/>
              <w:bottom w:val="nil"/>
              <w:right w:val="nil"/>
            </w:tcBorders>
            <w:vAlign w:val="center"/>
          </w:tcPr>
          <w:p>
            <w:pPr>
              <w:spacing w:before="20" w:after="20"/>
              <w:jc w:val="center"/>
            </w:pPr>
            <w:r>
              <w:rPr>
                <w:sz w:val="16"/>
                <w:szCs w:val="16"/>
              </w:rPr>
              <w:t xml:space="preserve">9.12</w:t>
            </w:r>
          </w:p>
        </w:tc>
        <w:tc>
          <w:tcPr>
            <w:tcW w:w="800" w:type="dxa"/>
            <w:tcBorders>
              <w:top w:val="nil"/>
              <w:left w:val="nil"/>
              <w:bottom w:val="nil"/>
              <w:right w:val="nil"/>
            </w:tcBorders>
            <w:vAlign w:val="center"/>
          </w:tcPr>
          <w:p>
            <w:pPr>
              <w:spacing w:before="20" w:after="20"/>
              <w:jc w:val="center"/>
            </w:pPr>
            <w:r>
              <w:rPr>
                <w:sz w:val="16"/>
                <w:szCs w:val="16"/>
              </w:rPr>
              <w:t xml:space="preserve">0/5</w:t>
            </w:r>
          </w:p>
        </w:tc>
      </w:tr>
      <w:tr>
        <w:trPr>
          <w:cantSplit/>
        </w:trPr>
        <w:tc>
          <w:tcPr>
            <w:tcW w:w="1250" w:type="dxa"/>
            <w:tcBorders>
              <w:top w:val="nil"/>
              <w:left w:val="nil"/>
              <w:bottom w:val="nil"/>
              <w:right w:val="nil"/>
            </w:tcBorders>
            <w:vAlign w:val="center"/>
          </w:tcPr>
          <w:p>
            <w:pPr>
              <w:spacing w:before="20" w:after="20"/>
              <w:jc w:val="left"/>
            </w:pPr>
            <w:r>
              <w:rPr>
                <w:sz w:val="16"/>
                <w:szCs w:val="16"/>
              </w:rPr>
              <w:t xml:space="preserve">Direct TD3</w:t>
            </w:r>
          </w:p>
        </w:tc>
        <w:tc>
          <w:tcPr>
            <w:tcW w:w="1550" w:type="dxa"/>
            <w:tcBorders>
              <w:top w:val="nil"/>
              <w:left w:val="nil"/>
              <w:bottom w:val="nil"/>
              <w:right w:val="nil"/>
            </w:tcBorders>
            <w:vAlign w:val="center"/>
          </w:tcPr>
          <w:p>
            <w:pPr>
              <w:spacing w:before="20" w:after="20"/>
              <w:jc w:val="center"/>
            </w:pPr>
            <w:r>
              <w:rPr>
                <w:sz w:val="16"/>
                <w:szCs w:val="16"/>
              </w:rPr>
              <w:t xml:space="preserve">37.7–83.3</w:t>
            </w:r>
          </w:p>
        </w:tc>
        <w:tc>
          <w:tcPr>
            <w:tcW w:w="1100" w:type="dxa"/>
            <w:tcBorders>
              <w:top w:val="nil"/>
              <w:left w:val="nil"/>
              <w:bottom w:val="nil"/>
              <w:right w:val="nil"/>
            </w:tcBorders>
            <w:vAlign w:val="center"/>
          </w:tcPr>
          <w:p>
            <w:pPr>
              <w:spacing w:before="20" w:after="20"/>
              <w:jc w:val="center"/>
            </w:pPr>
            <w:r>
              <w:rPr>
                <w:sz w:val="16"/>
                <w:szCs w:val="16"/>
              </w:rPr>
              <w:t xml:space="preserve">8.95±0.15</w:t>
            </w:r>
          </w:p>
        </w:tc>
        <w:tc>
          <w:tcPr>
            <w:tcW w:w="800" w:type="dxa"/>
            <w:tcBorders>
              <w:top w:val="nil"/>
              <w:left w:val="nil"/>
              <w:bottom w:val="nil"/>
              <w:right w:val="nil"/>
            </w:tcBorders>
            <w:vAlign w:val="center"/>
          </w:tcPr>
          <w:p>
            <w:pPr>
              <w:spacing w:before="20" w:after="20"/>
              <w:jc w:val="center"/>
            </w:pPr>
            <w:r>
              <w:rPr>
                <w:sz w:val="16"/>
                <w:szCs w:val="16"/>
              </w:rPr>
              <w:t xml:space="preserve">0/15</w:t>
            </w:r>
          </w:p>
        </w:tc>
      </w:tr>
      <w:tr>
        <w:trPr>
          <w:cantSplit/>
        </w:trPr>
        <w:tc>
          <w:tcPr>
            <w:tcW w:w="1250" w:type="dxa"/>
            <w:tcBorders>
              <w:top w:val="nil"/>
              <w:left w:val="nil"/>
              <w:bottom w:val="nil"/>
              <w:right w:val="nil"/>
            </w:tcBorders>
            <w:vAlign w:val="center"/>
          </w:tcPr>
          <w:p>
            <w:pPr>
              <w:spacing w:before="20" w:after="20"/>
              <w:jc w:val="left"/>
            </w:pPr>
            <w:r>
              <w:rPr>
                <w:sz w:val="16"/>
                <w:szCs w:val="16"/>
              </w:rPr>
              <w:t xml:space="preserve">Adaptive PID</w:t>
            </w:r>
          </w:p>
        </w:tc>
        <w:tc>
          <w:tcPr>
            <w:tcW w:w="1550" w:type="dxa"/>
            <w:tcBorders>
              <w:top w:val="nil"/>
              <w:left w:val="nil"/>
              <w:bottom w:val="nil"/>
              <w:right w:val="nil"/>
            </w:tcBorders>
            <w:vAlign w:val="center"/>
          </w:tcPr>
          <w:p>
            <w:pPr>
              <w:spacing w:before="20" w:after="20"/>
              <w:jc w:val="center"/>
            </w:pPr>
            <w:r>
              <w:rPr>
                <w:sz w:val="16"/>
                <w:szCs w:val="16"/>
              </w:rPr>
              <w:t xml:space="preserve">1.1–1.4</w:t>
            </w:r>
          </w:p>
        </w:tc>
        <w:tc>
          <w:tcPr>
            <w:tcW w:w="1100" w:type="dxa"/>
            <w:tcBorders>
              <w:top w:val="nil"/>
              <w:left w:val="nil"/>
              <w:bottom w:val="nil"/>
              <w:right w:val="nil"/>
            </w:tcBorders>
            <w:vAlign w:val="center"/>
          </w:tcPr>
          <w:p>
            <w:pPr>
              <w:spacing w:before="20" w:after="20"/>
              <w:jc w:val="center"/>
            </w:pPr>
            <w:r>
              <w:rPr>
                <w:sz w:val="16"/>
                <w:szCs w:val="16"/>
              </w:rPr>
              <w:t xml:space="preserve">8.88±0.01</w:t>
            </w:r>
          </w:p>
        </w:tc>
        <w:tc>
          <w:tcPr>
            <w:tcW w:w="800" w:type="dxa"/>
            <w:tcBorders>
              <w:top w:val="nil"/>
              <w:left w:val="nil"/>
              <w:bottom w:val="nil"/>
              <w:right w:val="nil"/>
            </w:tcBorders>
            <w:vAlign w:val="center"/>
          </w:tcPr>
          <w:p>
            <w:pPr>
              <w:spacing w:before="20" w:after="20"/>
              <w:jc w:val="center"/>
            </w:pPr>
            <w:r>
              <w:rPr>
                <w:sz w:val="16"/>
                <w:szCs w:val="16"/>
              </w:rPr>
              <w:t xml:space="preserve">0/15</w:t>
            </w:r>
          </w:p>
        </w:tc>
      </w:tr>
      <w:tr>
        <w:trPr>
          <w:cantSplit/>
        </w:trPr>
        <w:tc>
          <w:tcPr>
            <w:tcW w:w="1250" w:type="dxa"/>
            <w:tcBorders>
              <w:top w:val="nil"/>
              <w:left w:val="nil"/>
              <w:bottom w:val="nil"/>
              <w:right w:val="nil"/>
            </w:tcBorders>
            <w:vAlign w:val="center"/>
          </w:tcPr>
          <w:p>
            <w:pPr>
              <w:spacing w:before="20" w:after="20"/>
              <w:jc w:val="left"/>
            </w:pPr>
            <w:r>
              <w:rPr>
                <w:sz w:val="16"/>
                <w:szCs w:val="16"/>
              </w:rPr>
              <w:t xml:space="preserve">Adaptive SMC</w:t>
            </w:r>
          </w:p>
        </w:tc>
        <w:tc>
          <w:tcPr>
            <w:tcW w:w="1550" w:type="dxa"/>
            <w:tcBorders>
              <w:top w:val="nil"/>
              <w:left w:val="nil"/>
              <w:bottom w:val="nil"/>
              <w:right w:val="nil"/>
            </w:tcBorders>
            <w:vAlign w:val="center"/>
          </w:tcPr>
          <w:p>
            <w:pPr>
              <w:spacing w:before="20" w:after="20"/>
              <w:jc w:val="center"/>
            </w:pPr>
            <w:r>
              <w:rPr>
                <w:sz w:val="16"/>
                <w:szCs w:val="16"/>
              </w:rPr>
              <w:t xml:space="preserve">1.7–3.6</w:t>
            </w:r>
          </w:p>
        </w:tc>
        <w:tc>
          <w:tcPr>
            <w:tcW w:w="1100" w:type="dxa"/>
            <w:tcBorders>
              <w:top w:val="nil"/>
              <w:left w:val="nil"/>
              <w:bottom w:val="nil"/>
              <w:right w:val="nil"/>
            </w:tcBorders>
            <w:vAlign w:val="center"/>
          </w:tcPr>
          <w:p>
            <w:pPr>
              <w:spacing w:before="20" w:after="20"/>
              <w:jc w:val="center"/>
            </w:pPr>
            <w:r>
              <w:rPr>
                <w:sz w:val="16"/>
                <w:szCs w:val="16"/>
              </w:rPr>
              <w:t xml:space="preserve">9.25±0.04</w:t>
            </w:r>
          </w:p>
        </w:tc>
        <w:tc>
          <w:tcPr>
            <w:tcW w:w="800" w:type="dxa"/>
            <w:tcBorders>
              <w:top w:val="nil"/>
              <w:left w:val="nil"/>
              <w:bottom w:val="nil"/>
              <w:right w:val="nil"/>
            </w:tcBorders>
            <w:vAlign w:val="center"/>
          </w:tcPr>
          <w:p>
            <w:pPr>
              <w:spacing w:before="20" w:after="20"/>
              <w:jc w:val="center"/>
            </w:pPr>
            <w:r>
              <w:rPr>
                <w:sz w:val="16"/>
                <w:szCs w:val="16"/>
              </w:rPr>
              <w:t xml:space="preserve">0/15</w:t>
            </w:r>
          </w:p>
        </w:tc>
      </w:tr>
    </w:tbl>
    <w:p>
      <w:pPr>
        <w:pStyle w:val="FootnoteText"/>
        <w:spacing w:before="40" w:after="100"/>
        <w:ind w:firstLine="0"/>
      </w:pPr>
      <w:r>
        <w:t xml:space="preserve">Duty change: mean absolute change per 50 µs step (range over the five scenarios). Trips: protection trips / evaluation runs.</w:t>
      </w:r>
    </w:p>
    <w:p>
      <w:pPr>
        <w:pStyle w:val="FigureCaption"/>
        <w:keepNext/>
        <w:jc w:val="center"/>
      </w:pPr>
      <w:r>
        <w:drawing>
          <wp:inline distT="0" distB="0" distL="0" distR="0">
            <wp:extent cx="3017520" cy="2972482"/>
            <wp:effectExtent l="0" t="0" r="0" b="0"/>
            <wp:docPr id="102" name="Figure 2" descr="Output voltage of the five controllers: (a) cold start and (b) after *V*_{in} 12 → 10 V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waveforms.png" descr="Output voltage of the five controllers: (a) cold start and (b) after *V*_{in} 12 → 10 V (R"/>
                    <pic:cNvPicPr>
                      <a:picLocks noChangeAspect="1"/>
                    </pic:cNvPicPr>
                  </pic:nvPicPr>
                  <pic:blipFill>
                    <a:blip r:embed="rId102"/>
                    <a:stretch>
                      <a:fillRect/>
                    </a:stretch>
                  </pic:blipFill>
                  <pic:spPr>
                    <a:xfrm>
                      <a:off x="0" y="0"/>
                      <a:ext cx="3017520" cy="2972482"/>
                    </a:xfrm>
                    <a:prstGeom prst="rect">
                      <a:avLst/>
                    </a:prstGeom>
                  </pic:spPr>
                </pic:pic>
              </a:graphicData>
            </a:graphic>
          </wp:inline>
        </w:drawing>
      </w:r>
    </w:p>
    <w:p>
      <w:pPr>
        <w:pStyle w:val="FigCaption"/>
      </w:pPr>
      <w:r>
        <w:t xml:space="preserve">Output voltage of the five controllers: (a) cold start and (b) after </w:t>
      </w:r>
      <w:r>
        <w:rPr>
          <w:i/>
        </w:rPr>
        <w:t xml:space="preserve">V</w:t>
      </w:r>
      <w:r>
        <w:rPr>
          <w:vertAlign w:val="subscript"/>
        </w:rPr>
        <w:t xml:space="preserve">in</w:t>
      </w:r>
      <w:r>
        <w:t xml:space="preserve"> 12 → 10 V (RL curves: mean over three seeds).</w:t>
      </w:r>
    </w:p>
    <w:p>
      <w:pPr>
        <w:pStyle w:val="PARA"/>
      </w:pPr>
      <w:r>
        <w:t xml:space="preserve">The adaptive controllers stay close to their baselines by design. The adaptive PID has 3–7 % smaller peak deviations, faster recovery after three of the four disturbances but slower after </w:t>
      </w:r>
      <w:r>
        <w:rPr>
          <w:i/>
        </w:rPr>
        <w:t xml:space="preserve">V</w:t>
      </w:r>
      <w:r>
        <w:rPr>
          <w:vertAlign w:val="subscript"/>
        </w:rPr>
        <w:t xml:space="preserve">in</w:t>
      </w:r>
      <w:r>
        <w:t xml:space="preserve"> 12 → 14 V (9.4 against 6.5 ms), and a similar cold-start settling time. The adaptive SMC has 0.4–6 % smaller peak deviations and 3–10 % faster recovery after all four disturbances, but a slower and more oscillatory cold start (settling 5.1 ± 1.9 against 2.9 ms), 1.2–2.1 times the duty activity, and a mean peak current 0.13 A higher. Their parameters now react to each disturbance and differ from seed to seed, in some runs with a sustained ripple, but never leave the certified boxes. The PID supervisor engaged once per run (during the cold start) and the SMC supervisor never. Several of these differences are within the seed spread.</w:t>
      </w:r>
    </w:p>
    <w:p>
      <w:pPr>
        <w:pStyle w:val="TableTitle"/>
        <w:keepNext/>
        <w:spacing w:before="160"/>
      </w:pPr>
      <w:r>
        <w:t xml:space="preserve">TABLE VI</w:t>
      </w:r>
    </w:p>
    <w:p>
      <w:pPr>
        <w:pStyle w:val="TableTitle"/>
        <w:keepNext/>
        <w:spacing w:after="60"/>
      </w:pPr>
      <w:r>
        <w:t xml:space="preserve">Maximum Deviation after the Disturbance (V)</w:t>
      </w:r>
    </w:p>
    <w:tbl>
      <w:tblPr>
        <w:tblW w:w="467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1150"/>
        <w:gridCol w:w="880"/>
        <w:gridCol w:w="880"/>
        <w:gridCol w:w="880"/>
        <w:gridCol w:w="880"/>
      </w:tblGrid>
      <w:tr>
        <w:trPr>
          <w:cantSplit/>
          <w:tblHeader/>
        </w:trPr>
        <w:tc>
          <w:tcPr>
            <w:tcW w:w="115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Controller</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V</w:t>
            </w:r>
            <w:r>
              <w:rPr>
                <w:sz w:val="16"/>
                <w:szCs w:val="16"/>
                <w:vertAlign w:val="subscript"/>
              </w:rPr>
              <w:t xml:space="preserve">in</w:t>
            </w:r>
            <w:r>
              <w:rPr>
                <w:sz w:val="16"/>
                <w:szCs w:val="16"/>
              </w:rPr>
              <w:t xml:space="preserve"> 12→10 V</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V</w:t>
            </w:r>
            <w:r>
              <w:rPr>
                <w:sz w:val="16"/>
                <w:szCs w:val="16"/>
                <w:vertAlign w:val="subscript"/>
              </w:rPr>
              <w:t xml:space="preserve">in</w:t>
            </w:r>
            <w:r>
              <w:rPr>
                <w:sz w:val="16"/>
                <w:szCs w:val="16"/>
              </w:rPr>
              <w:t xml:space="preserve"> 12→14 V</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R</w:t>
            </w:r>
            <w:r>
              <w:rPr>
                <w:sz w:val="16"/>
                <w:szCs w:val="16"/>
              </w:rPr>
              <w:t xml:space="preserve"> 20→10 Ω</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R</w:t>
            </w:r>
            <w:r>
              <w:rPr>
                <w:sz w:val="16"/>
                <w:szCs w:val="16"/>
              </w:rPr>
              <w:t xml:space="preserve"> 20→30 Ω</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PID</w:t>
            </w:r>
          </w:p>
        </w:tc>
        <w:tc>
          <w:tcPr>
            <w:tcW w:w="880" w:type="dxa"/>
            <w:tcBorders>
              <w:top w:val="nil"/>
              <w:left w:val="nil"/>
              <w:bottom w:val="nil"/>
              <w:right w:val="nil"/>
            </w:tcBorders>
            <w:vAlign w:val="center"/>
          </w:tcPr>
          <w:p>
            <w:pPr>
              <w:spacing w:before="20" w:after="20"/>
              <w:jc w:val="center"/>
            </w:pPr>
            <w:r>
              <w:rPr>
                <w:sz w:val="16"/>
                <w:szCs w:val="16"/>
              </w:rPr>
              <w:t xml:space="preserve">3.40</w:t>
            </w:r>
          </w:p>
        </w:tc>
        <w:tc>
          <w:tcPr>
            <w:tcW w:w="880" w:type="dxa"/>
            <w:tcBorders>
              <w:top w:val="nil"/>
              <w:left w:val="nil"/>
              <w:bottom w:val="nil"/>
              <w:right w:val="nil"/>
            </w:tcBorders>
            <w:vAlign w:val="center"/>
          </w:tcPr>
          <w:p>
            <w:pPr>
              <w:spacing w:before="20" w:after="20"/>
              <w:jc w:val="center"/>
            </w:pPr>
            <w:r>
              <w:rPr>
                <w:sz w:val="16"/>
                <w:szCs w:val="16"/>
              </w:rPr>
              <w:t xml:space="preserve">3.00</w:t>
            </w:r>
          </w:p>
        </w:tc>
        <w:tc>
          <w:tcPr>
            <w:tcW w:w="880" w:type="dxa"/>
            <w:tcBorders>
              <w:top w:val="nil"/>
              <w:left w:val="nil"/>
              <w:bottom w:val="nil"/>
              <w:right w:val="nil"/>
            </w:tcBorders>
            <w:vAlign w:val="center"/>
          </w:tcPr>
          <w:p>
            <w:pPr>
              <w:spacing w:before="20" w:after="20"/>
              <w:jc w:val="center"/>
            </w:pPr>
            <w:r>
              <w:rPr>
                <w:sz w:val="16"/>
                <w:szCs w:val="16"/>
              </w:rPr>
              <w:t xml:space="preserve">1.94</w:t>
            </w:r>
          </w:p>
        </w:tc>
        <w:tc>
          <w:tcPr>
            <w:tcW w:w="880" w:type="dxa"/>
            <w:tcBorders>
              <w:top w:val="nil"/>
              <w:left w:val="nil"/>
              <w:bottom w:val="nil"/>
              <w:right w:val="nil"/>
            </w:tcBorders>
            <w:vAlign w:val="center"/>
          </w:tcPr>
          <w:p>
            <w:pPr>
              <w:spacing w:before="20" w:after="20"/>
              <w:jc w:val="center"/>
            </w:pPr>
            <w:r>
              <w:rPr>
                <w:sz w:val="16"/>
                <w:szCs w:val="16"/>
              </w:rPr>
              <w:t xml:space="preserve">0.64</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SMC</w:t>
            </w:r>
          </w:p>
        </w:tc>
        <w:tc>
          <w:tcPr>
            <w:tcW w:w="880" w:type="dxa"/>
            <w:tcBorders>
              <w:top w:val="nil"/>
              <w:left w:val="nil"/>
              <w:bottom w:val="nil"/>
              <w:right w:val="nil"/>
            </w:tcBorders>
            <w:vAlign w:val="center"/>
          </w:tcPr>
          <w:p>
            <w:pPr>
              <w:spacing w:before="20" w:after="20"/>
              <w:jc w:val="center"/>
            </w:pPr>
            <w:r>
              <w:rPr>
                <w:sz w:val="16"/>
                <w:szCs w:val="16"/>
              </w:rPr>
              <w:t xml:space="preserve">0.65</w:t>
            </w:r>
          </w:p>
        </w:tc>
        <w:tc>
          <w:tcPr>
            <w:tcW w:w="880" w:type="dxa"/>
            <w:tcBorders>
              <w:top w:val="nil"/>
              <w:left w:val="nil"/>
              <w:bottom w:val="nil"/>
              <w:right w:val="nil"/>
            </w:tcBorders>
            <w:vAlign w:val="center"/>
          </w:tcPr>
          <w:p>
            <w:pPr>
              <w:spacing w:before="20" w:after="20"/>
              <w:jc w:val="center"/>
            </w:pPr>
            <w:r>
              <w:rPr>
                <w:sz w:val="16"/>
                <w:szCs w:val="16"/>
              </w:rPr>
              <w:t xml:space="preserve">0.56</w:t>
            </w:r>
          </w:p>
        </w:tc>
        <w:tc>
          <w:tcPr>
            <w:tcW w:w="880" w:type="dxa"/>
            <w:tcBorders>
              <w:top w:val="nil"/>
              <w:left w:val="nil"/>
              <w:bottom w:val="nil"/>
              <w:right w:val="nil"/>
            </w:tcBorders>
            <w:vAlign w:val="center"/>
          </w:tcPr>
          <w:p>
            <w:pPr>
              <w:spacing w:before="20" w:after="20"/>
              <w:jc w:val="center"/>
            </w:pPr>
            <w:r>
              <w:rPr>
                <w:sz w:val="16"/>
                <w:szCs w:val="16"/>
              </w:rPr>
              <w:t xml:space="preserve">2.09</w:t>
            </w:r>
          </w:p>
        </w:tc>
        <w:tc>
          <w:tcPr>
            <w:tcW w:w="880" w:type="dxa"/>
            <w:tcBorders>
              <w:top w:val="nil"/>
              <w:left w:val="nil"/>
              <w:bottom w:val="nil"/>
              <w:right w:val="nil"/>
            </w:tcBorders>
            <w:vAlign w:val="center"/>
          </w:tcPr>
          <w:p>
            <w:pPr>
              <w:spacing w:before="20" w:after="20"/>
              <w:jc w:val="center"/>
            </w:pPr>
            <w:r>
              <w:rPr>
                <w:sz w:val="16"/>
                <w:szCs w:val="16"/>
              </w:rPr>
              <w:t xml:space="preserve">0.80</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Direct TD3</w:t>
            </w:r>
          </w:p>
        </w:tc>
        <w:tc>
          <w:tcPr>
            <w:tcW w:w="880" w:type="dxa"/>
            <w:tcBorders>
              <w:top w:val="nil"/>
              <w:left w:val="nil"/>
              <w:bottom w:val="nil"/>
              <w:right w:val="nil"/>
            </w:tcBorders>
            <w:vAlign w:val="center"/>
          </w:tcPr>
          <w:p>
            <w:pPr>
              <w:spacing w:before="20" w:after="20"/>
              <w:jc w:val="center"/>
            </w:pPr>
            <w:r>
              <w:rPr>
                <w:sz w:val="16"/>
                <w:szCs w:val="16"/>
              </w:rPr>
              <w:t xml:space="preserve">0.44±0.08</w:t>
            </w:r>
          </w:p>
        </w:tc>
        <w:tc>
          <w:tcPr>
            <w:tcW w:w="880" w:type="dxa"/>
            <w:tcBorders>
              <w:top w:val="nil"/>
              <w:left w:val="nil"/>
              <w:bottom w:val="nil"/>
              <w:right w:val="nil"/>
            </w:tcBorders>
            <w:vAlign w:val="center"/>
          </w:tcPr>
          <w:p>
            <w:pPr>
              <w:spacing w:before="20" w:after="20"/>
              <w:jc w:val="center"/>
            </w:pPr>
            <w:r>
              <w:rPr>
                <w:sz w:val="16"/>
                <w:szCs w:val="16"/>
              </w:rPr>
              <w:t xml:space="preserve">0.39±0.01</w:t>
            </w:r>
          </w:p>
        </w:tc>
        <w:tc>
          <w:tcPr>
            <w:tcW w:w="880" w:type="dxa"/>
            <w:tcBorders>
              <w:top w:val="nil"/>
              <w:left w:val="nil"/>
              <w:bottom w:val="nil"/>
              <w:right w:val="nil"/>
            </w:tcBorders>
            <w:vAlign w:val="center"/>
          </w:tcPr>
          <w:p>
            <w:pPr>
              <w:spacing w:before="20" w:after="20"/>
              <w:jc w:val="center"/>
            </w:pPr>
            <w:r>
              <w:rPr>
                <w:sz w:val="16"/>
                <w:szCs w:val="16"/>
              </w:rPr>
              <w:t xml:space="preserve">1.85±0.21</w:t>
            </w:r>
          </w:p>
        </w:tc>
        <w:tc>
          <w:tcPr>
            <w:tcW w:w="880" w:type="dxa"/>
            <w:tcBorders>
              <w:top w:val="nil"/>
              <w:left w:val="nil"/>
              <w:bottom w:val="nil"/>
              <w:right w:val="nil"/>
            </w:tcBorders>
            <w:vAlign w:val="center"/>
          </w:tcPr>
          <w:p>
            <w:pPr>
              <w:spacing w:before="20" w:after="20"/>
              <w:jc w:val="center"/>
            </w:pPr>
            <w:r>
              <w:rPr>
                <w:sz w:val="16"/>
                <w:szCs w:val="16"/>
              </w:rPr>
              <w:t xml:space="preserve">0.43±0.00</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PID</w:t>
            </w:r>
          </w:p>
        </w:tc>
        <w:tc>
          <w:tcPr>
            <w:tcW w:w="880" w:type="dxa"/>
            <w:tcBorders>
              <w:top w:val="nil"/>
              <w:left w:val="nil"/>
              <w:bottom w:val="nil"/>
              <w:right w:val="nil"/>
            </w:tcBorders>
            <w:vAlign w:val="center"/>
          </w:tcPr>
          <w:p>
            <w:pPr>
              <w:spacing w:before="20" w:after="20"/>
              <w:jc w:val="center"/>
            </w:pPr>
            <w:r>
              <w:rPr>
                <w:sz w:val="16"/>
                <w:szCs w:val="16"/>
              </w:rPr>
              <w:t xml:space="preserve">3.29±0.03</w:t>
            </w:r>
          </w:p>
        </w:tc>
        <w:tc>
          <w:tcPr>
            <w:tcW w:w="880" w:type="dxa"/>
            <w:tcBorders>
              <w:top w:val="nil"/>
              <w:left w:val="nil"/>
              <w:bottom w:val="nil"/>
              <w:right w:val="nil"/>
            </w:tcBorders>
            <w:vAlign w:val="center"/>
          </w:tcPr>
          <w:p>
            <w:pPr>
              <w:spacing w:before="20" w:after="20"/>
              <w:jc w:val="center"/>
            </w:pPr>
            <w:r>
              <w:rPr>
                <w:sz w:val="16"/>
                <w:szCs w:val="16"/>
              </w:rPr>
              <w:t xml:space="preserve">2.79±0.09</w:t>
            </w:r>
          </w:p>
        </w:tc>
        <w:tc>
          <w:tcPr>
            <w:tcW w:w="880" w:type="dxa"/>
            <w:tcBorders>
              <w:top w:val="nil"/>
              <w:left w:val="nil"/>
              <w:bottom w:val="nil"/>
              <w:right w:val="nil"/>
            </w:tcBorders>
            <w:vAlign w:val="center"/>
          </w:tcPr>
          <w:p>
            <w:pPr>
              <w:spacing w:before="20" w:after="20"/>
              <w:jc w:val="center"/>
            </w:pPr>
            <w:r>
              <w:rPr>
                <w:sz w:val="16"/>
                <w:szCs w:val="16"/>
              </w:rPr>
              <w:t xml:space="preserve">1.88±0.03</w:t>
            </w:r>
          </w:p>
        </w:tc>
        <w:tc>
          <w:tcPr>
            <w:tcW w:w="880" w:type="dxa"/>
            <w:tcBorders>
              <w:top w:val="nil"/>
              <w:left w:val="nil"/>
              <w:bottom w:val="nil"/>
              <w:right w:val="nil"/>
            </w:tcBorders>
            <w:vAlign w:val="center"/>
          </w:tcPr>
          <w:p>
            <w:pPr>
              <w:spacing w:before="20" w:after="20"/>
              <w:jc w:val="center"/>
            </w:pPr>
            <w:r>
              <w:rPr>
                <w:sz w:val="16"/>
                <w:szCs w:val="16"/>
              </w:rPr>
              <w:t xml:space="preserve">0.61±0.01</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SMC</w:t>
            </w:r>
          </w:p>
        </w:tc>
        <w:tc>
          <w:tcPr>
            <w:tcW w:w="880" w:type="dxa"/>
            <w:tcBorders>
              <w:top w:val="nil"/>
              <w:left w:val="nil"/>
              <w:bottom w:val="nil"/>
              <w:right w:val="nil"/>
            </w:tcBorders>
            <w:vAlign w:val="center"/>
          </w:tcPr>
          <w:p>
            <w:pPr>
              <w:spacing w:before="20" w:after="20"/>
              <w:jc w:val="center"/>
            </w:pPr>
            <w:r>
              <w:rPr>
                <w:sz w:val="16"/>
                <w:szCs w:val="16"/>
              </w:rPr>
              <w:t xml:space="preserve">0.64±0.04</w:t>
            </w:r>
          </w:p>
        </w:tc>
        <w:tc>
          <w:tcPr>
            <w:tcW w:w="880" w:type="dxa"/>
            <w:tcBorders>
              <w:top w:val="nil"/>
              <w:left w:val="nil"/>
              <w:bottom w:val="nil"/>
              <w:right w:val="nil"/>
            </w:tcBorders>
            <w:vAlign w:val="center"/>
          </w:tcPr>
          <w:p>
            <w:pPr>
              <w:spacing w:before="20" w:after="20"/>
              <w:jc w:val="center"/>
            </w:pPr>
            <w:r>
              <w:rPr>
                <w:sz w:val="16"/>
                <w:szCs w:val="16"/>
              </w:rPr>
              <w:t xml:space="preserve">0.56±0.01</w:t>
            </w:r>
          </w:p>
        </w:tc>
        <w:tc>
          <w:tcPr>
            <w:tcW w:w="880" w:type="dxa"/>
            <w:tcBorders>
              <w:top w:val="nil"/>
              <w:left w:val="nil"/>
              <w:bottom w:val="nil"/>
              <w:right w:val="nil"/>
            </w:tcBorders>
            <w:vAlign w:val="center"/>
          </w:tcPr>
          <w:p>
            <w:pPr>
              <w:spacing w:before="20" w:after="20"/>
              <w:jc w:val="center"/>
            </w:pPr>
            <w:r>
              <w:rPr>
                <w:sz w:val="16"/>
                <w:szCs w:val="16"/>
              </w:rPr>
              <w:t xml:space="preserve">1.97±0.06</w:t>
            </w:r>
          </w:p>
        </w:tc>
        <w:tc>
          <w:tcPr>
            <w:tcW w:w="880" w:type="dxa"/>
            <w:tcBorders>
              <w:top w:val="nil"/>
              <w:left w:val="nil"/>
              <w:bottom w:val="nil"/>
              <w:right w:val="nil"/>
            </w:tcBorders>
            <w:vAlign w:val="center"/>
          </w:tcPr>
          <w:p>
            <w:pPr>
              <w:spacing w:before="20" w:after="20"/>
              <w:jc w:val="center"/>
            </w:pPr>
            <w:r>
              <w:rPr>
                <w:sz w:val="16"/>
                <w:szCs w:val="16"/>
              </w:rPr>
              <w:t xml:space="preserve">0.78±0.05</w:t>
            </w:r>
          </w:p>
        </w:tc>
      </w:tr>
    </w:tbl>
    <w:p>
      <w:pPr>
        <w:spacing w:after="60"/>
        <w:rPr>
          <w:sz w:val="8"/>
        </w:rPr>
      </w:pPr>
    </w:p>
    <w:p>
      <w:pPr>
        <w:pStyle w:val="TableTitle"/>
        <w:keepNext/>
        <w:spacing w:before="160"/>
      </w:pPr>
      <w:r>
        <w:t xml:space="preserve">TABLE VII</w:t>
      </w:r>
    </w:p>
    <w:p>
      <w:pPr>
        <w:pStyle w:val="TableTitle"/>
        <w:keepNext/>
        <w:spacing w:after="60"/>
      </w:pPr>
      <w:r>
        <w:t xml:space="preserve">Recovery Time to Within ±2 % (ms)</w:t>
      </w:r>
    </w:p>
    <w:tbl>
      <w:tblPr>
        <w:tblW w:w="4670" w:type="dxa"/>
        <w:tblInd w:w="108" w:type="dxa"/>
        <w:tblBorders>
          <w:top w:val="single" w:sz="12" w:space="0" w:color="808080"/>
          <w:bottom w:val="single" w:sz="12" w:space="0" w:color="808080"/>
        </w:tblBorders>
        <w:tblLayout w:type="fixed"/>
        <w:tblCellMar>
          <w:left w:w="40" w:type="dxa"/>
          <w:right w:w="40" w:type="dxa"/>
        </w:tblCellMar>
        <w:tblLook w:val="0000" w:firstRow="0" w:lastRow="0" w:firstColumn="0" w:lastColumn="0" w:noHBand="0" w:noVBand="0"/>
      </w:tblPr>
      <w:tblGrid>
        <w:gridCol w:w="1150"/>
        <w:gridCol w:w="880"/>
        <w:gridCol w:w="880"/>
        <w:gridCol w:w="880"/>
        <w:gridCol w:w="880"/>
      </w:tblGrid>
      <w:tr>
        <w:trPr>
          <w:cantSplit/>
          <w:tblHeader/>
        </w:trPr>
        <w:tc>
          <w:tcPr>
            <w:tcW w:w="1150" w:type="dxa"/>
            <w:tcBorders>
              <w:top w:val="double" w:sz="6" w:space="0" w:color="auto"/>
              <w:left w:val="nil"/>
              <w:bottom w:val="single" w:sz="6" w:space="0" w:color="auto"/>
              <w:right w:val="nil"/>
            </w:tcBorders>
            <w:vAlign w:val="center"/>
          </w:tcPr>
          <w:p>
            <w:pPr>
              <w:spacing w:before="20" w:after="20"/>
              <w:jc w:val="left"/>
            </w:pPr>
            <w:r>
              <w:rPr>
                <w:sz w:val="16"/>
                <w:szCs w:val="16"/>
              </w:rPr>
              <w:t xml:space="preserve">Controller</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V</w:t>
            </w:r>
            <w:r>
              <w:rPr>
                <w:sz w:val="16"/>
                <w:szCs w:val="16"/>
                <w:vertAlign w:val="subscript"/>
              </w:rPr>
              <w:t xml:space="preserve">in</w:t>
            </w:r>
            <w:r>
              <w:rPr>
                <w:sz w:val="16"/>
                <w:szCs w:val="16"/>
              </w:rPr>
              <w:t xml:space="preserve"> 12→10 V</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V</w:t>
            </w:r>
            <w:r>
              <w:rPr>
                <w:sz w:val="16"/>
                <w:szCs w:val="16"/>
                <w:vertAlign w:val="subscript"/>
              </w:rPr>
              <w:t xml:space="preserve">in</w:t>
            </w:r>
            <w:r>
              <w:rPr>
                <w:sz w:val="16"/>
                <w:szCs w:val="16"/>
              </w:rPr>
              <w:t xml:space="preserve"> 12→14 V</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R</w:t>
            </w:r>
            <w:r>
              <w:rPr>
                <w:sz w:val="16"/>
                <w:szCs w:val="16"/>
              </w:rPr>
              <w:t xml:space="preserve"> 20→10 Ω</w:t>
            </w:r>
          </w:p>
        </w:tc>
        <w:tc>
          <w:tcPr>
            <w:tcW w:w="880" w:type="dxa"/>
            <w:tcBorders>
              <w:top w:val="double" w:sz="6" w:space="0" w:color="auto"/>
              <w:left w:val="nil"/>
              <w:bottom w:val="single" w:sz="6" w:space="0" w:color="auto"/>
              <w:right w:val="nil"/>
            </w:tcBorders>
            <w:vAlign w:val="center"/>
          </w:tcPr>
          <w:p>
            <w:pPr>
              <w:spacing w:before="20" w:after="20"/>
              <w:jc w:val="center"/>
            </w:pPr>
            <w:r>
              <w:rPr>
                <w:i/>
                <w:sz w:val="16"/>
                <w:szCs w:val="16"/>
              </w:rPr>
              <w:t xml:space="preserve">R</w:t>
            </w:r>
            <w:r>
              <w:rPr>
                <w:sz w:val="16"/>
                <w:szCs w:val="16"/>
              </w:rPr>
              <w:t xml:space="preserve"> 20→30 Ω</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PID</w:t>
            </w:r>
          </w:p>
        </w:tc>
        <w:tc>
          <w:tcPr>
            <w:tcW w:w="880" w:type="dxa"/>
            <w:tcBorders>
              <w:top w:val="nil"/>
              <w:left w:val="nil"/>
              <w:bottom w:val="nil"/>
              <w:right w:val="nil"/>
            </w:tcBorders>
            <w:vAlign w:val="center"/>
          </w:tcPr>
          <w:p>
            <w:pPr>
              <w:spacing w:before="20" w:after="20"/>
              <w:jc w:val="center"/>
            </w:pPr>
            <w:r>
              <w:rPr>
                <w:sz w:val="16"/>
                <w:szCs w:val="16"/>
              </w:rPr>
              <w:t xml:space="preserve">10.6</w:t>
            </w:r>
          </w:p>
        </w:tc>
        <w:tc>
          <w:tcPr>
            <w:tcW w:w="880" w:type="dxa"/>
            <w:tcBorders>
              <w:top w:val="nil"/>
              <w:left w:val="nil"/>
              <w:bottom w:val="nil"/>
              <w:right w:val="nil"/>
            </w:tcBorders>
            <w:vAlign w:val="center"/>
          </w:tcPr>
          <w:p>
            <w:pPr>
              <w:spacing w:before="20" w:after="20"/>
              <w:jc w:val="center"/>
            </w:pPr>
            <w:r>
              <w:rPr>
                <w:sz w:val="16"/>
                <w:szCs w:val="16"/>
              </w:rPr>
              <w:t xml:space="preserve">6.5</w:t>
            </w:r>
          </w:p>
        </w:tc>
        <w:tc>
          <w:tcPr>
            <w:tcW w:w="880" w:type="dxa"/>
            <w:tcBorders>
              <w:top w:val="nil"/>
              <w:left w:val="nil"/>
              <w:bottom w:val="nil"/>
              <w:right w:val="nil"/>
            </w:tcBorders>
            <w:vAlign w:val="center"/>
          </w:tcPr>
          <w:p>
            <w:pPr>
              <w:spacing w:before="20" w:after="20"/>
              <w:jc w:val="center"/>
            </w:pPr>
            <w:r>
              <w:rPr>
                <w:sz w:val="16"/>
                <w:szCs w:val="16"/>
              </w:rPr>
              <w:t xml:space="preserve">7.6</w:t>
            </w:r>
          </w:p>
        </w:tc>
        <w:tc>
          <w:tcPr>
            <w:tcW w:w="880" w:type="dxa"/>
            <w:tcBorders>
              <w:top w:val="nil"/>
              <w:left w:val="nil"/>
              <w:bottom w:val="nil"/>
              <w:right w:val="nil"/>
            </w:tcBorders>
            <w:vAlign w:val="center"/>
          </w:tcPr>
          <w:p>
            <w:pPr>
              <w:spacing w:before="20" w:after="20"/>
              <w:jc w:val="center"/>
            </w:pPr>
            <w:r>
              <w:rPr>
                <w:sz w:val="16"/>
                <w:szCs w:val="16"/>
              </w:rPr>
              <w:t xml:space="preserve">2.1</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Fixed SMC</w:t>
            </w:r>
          </w:p>
        </w:tc>
        <w:tc>
          <w:tcPr>
            <w:tcW w:w="880" w:type="dxa"/>
            <w:tcBorders>
              <w:top w:val="nil"/>
              <w:left w:val="nil"/>
              <w:bottom w:val="nil"/>
              <w:right w:val="nil"/>
            </w:tcBorders>
            <w:vAlign w:val="center"/>
          </w:tcPr>
          <w:p>
            <w:pPr>
              <w:spacing w:before="20" w:after="20"/>
              <w:jc w:val="center"/>
            </w:pPr>
            <w:r>
              <w:rPr>
                <w:sz w:val="16"/>
                <w:szCs w:val="16"/>
              </w:rPr>
              <w:t xml:space="preserve">4.7</w:t>
            </w:r>
          </w:p>
        </w:tc>
        <w:tc>
          <w:tcPr>
            <w:tcW w:w="880" w:type="dxa"/>
            <w:tcBorders>
              <w:top w:val="nil"/>
              <w:left w:val="nil"/>
              <w:bottom w:val="nil"/>
              <w:right w:val="nil"/>
            </w:tcBorders>
            <w:vAlign w:val="center"/>
          </w:tcPr>
          <w:p>
            <w:pPr>
              <w:spacing w:before="20" w:after="20"/>
              <w:jc w:val="center"/>
            </w:pPr>
            <w:r>
              <w:rPr>
                <w:sz w:val="16"/>
                <w:szCs w:val="16"/>
              </w:rPr>
              <w:t xml:space="preserve">3.3</w:t>
            </w:r>
          </w:p>
        </w:tc>
        <w:tc>
          <w:tcPr>
            <w:tcW w:w="880" w:type="dxa"/>
            <w:tcBorders>
              <w:top w:val="nil"/>
              <w:left w:val="nil"/>
              <w:bottom w:val="nil"/>
              <w:right w:val="nil"/>
            </w:tcBorders>
            <w:vAlign w:val="center"/>
          </w:tcPr>
          <w:p>
            <w:pPr>
              <w:spacing w:before="20" w:after="20"/>
              <w:jc w:val="center"/>
            </w:pPr>
            <w:r>
              <w:rPr>
                <w:sz w:val="16"/>
                <w:szCs w:val="16"/>
              </w:rPr>
              <w:t xml:space="preserve">9.9</w:t>
            </w:r>
          </w:p>
        </w:tc>
        <w:tc>
          <w:tcPr>
            <w:tcW w:w="880" w:type="dxa"/>
            <w:tcBorders>
              <w:top w:val="nil"/>
              <w:left w:val="nil"/>
              <w:bottom w:val="nil"/>
              <w:right w:val="nil"/>
            </w:tcBorders>
            <w:vAlign w:val="center"/>
          </w:tcPr>
          <w:p>
            <w:pPr>
              <w:spacing w:before="20" w:after="20"/>
              <w:jc w:val="center"/>
            </w:pPr>
            <w:r>
              <w:rPr>
                <w:sz w:val="16"/>
                <w:szCs w:val="16"/>
              </w:rPr>
              <w:t xml:space="preserve">5.2</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Direct TD3</w:t>
            </w:r>
          </w:p>
        </w:tc>
        <w:tc>
          <w:tcPr>
            <w:tcW w:w="880" w:type="dxa"/>
            <w:tcBorders>
              <w:top w:val="nil"/>
              <w:left w:val="nil"/>
              <w:bottom w:val="nil"/>
              <w:right w:val="nil"/>
            </w:tcBorders>
            <w:vAlign w:val="center"/>
          </w:tcPr>
          <w:p>
            <w:pPr>
              <w:spacing w:before="20" w:after="20"/>
              <w:jc w:val="center"/>
            </w:pPr>
            <w:r>
              <w:rPr>
                <w:sz w:val="16"/>
                <w:szCs w:val="16"/>
              </w:rPr>
              <w:t xml:space="preserve">4.4±7.6</w:t>
            </w:r>
          </w:p>
        </w:tc>
        <w:tc>
          <w:tcPr>
            <w:tcW w:w="880" w:type="dxa"/>
            <w:tcBorders>
              <w:top w:val="nil"/>
              <w:left w:val="nil"/>
              <w:bottom w:val="nil"/>
              <w:right w:val="nil"/>
            </w:tcBorders>
            <w:vAlign w:val="center"/>
          </w:tcPr>
          <w:p>
            <w:pPr>
              <w:spacing w:before="20" w:after="20"/>
              <w:jc w:val="center"/>
            </w:pPr>
            <w:r>
              <w:rPr>
                <w:sz w:val="16"/>
                <w:szCs w:val="16"/>
              </w:rPr>
              <w:t xml:space="preserve">0</w:t>
            </w:r>
          </w:p>
        </w:tc>
        <w:tc>
          <w:tcPr>
            <w:tcW w:w="880" w:type="dxa"/>
            <w:tcBorders>
              <w:top w:val="nil"/>
              <w:left w:val="nil"/>
              <w:bottom w:val="nil"/>
              <w:right w:val="nil"/>
            </w:tcBorders>
            <w:vAlign w:val="center"/>
          </w:tcPr>
          <w:p>
            <w:pPr>
              <w:spacing w:before="20" w:after="20"/>
              <w:jc w:val="center"/>
            </w:pPr>
            <w:r>
              <w:rPr>
                <w:sz w:val="16"/>
                <w:szCs w:val="16"/>
              </w:rPr>
              <w:t xml:space="preserve">49.1±5.5†</w:t>
            </w:r>
          </w:p>
        </w:tc>
        <w:tc>
          <w:tcPr>
            <w:tcW w:w="880" w:type="dxa"/>
            <w:tcBorders>
              <w:top w:val="nil"/>
              <w:left w:val="nil"/>
              <w:bottom w:val="nil"/>
              <w:right w:val="nil"/>
            </w:tcBorders>
            <w:vAlign w:val="center"/>
          </w:tcPr>
          <w:p>
            <w:pPr>
              <w:spacing w:before="20" w:after="20"/>
              <w:jc w:val="center"/>
            </w:pPr>
            <w:r>
              <w:rPr>
                <w:sz w:val="16"/>
                <w:szCs w:val="16"/>
              </w:rPr>
              <w:t xml:space="preserve">0</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PID</w:t>
            </w:r>
          </w:p>
        </w:tc>
        <w:tc>
          <w:tcPr>
            <w:tcW w:w="880" w:type="dxa"/>
            <w:tcBorders>
              <w:top w:val="nil"/>
              <w:left w:val="nil"/>
              <w:bottom w:val="nil"/>
              <w:right w:val="nil"/>
            </w:tcBorders>
            <w:vAlign w:val="center"/>
          </w:tcPr>
          <w:p>
            <w:pPr>
              <w:spacing w:before="20" w:after="20"/>
              <w:jc w:val="center"/>
            </w:pPr>
            <w:r>
              <w:rPr>
                <w:sz w:val="16"/>
                <w:szCs w:val="16"/>
              </w:rPr>
              <w:t xml:space="preserve">8.2±1.7</w:t>
            </w:r>
          </w:p>
        </w:tc>
        <w:tc>
          <w:tcPr>
            <w:tcW w:w="880" w:type="dxa"/>
            <w:tcBorders>
              <w:top w:val="nil"/>
              <w:left w:val="nil"/>
              <w:bottom w:val="nil"/>
              <w:right w:val="nil"/>
            </w:tcBorders>
            <w:vAlign w:val="center"/>
          </w:tcPr>
          <w:p>
            <w:pPr>
              <w:spacing w:before="20" w:after="20"/>
              <w:jc w:val="center"/>
            </w:pPr>
            <w:r>
              <w:rPr>
                <w:sz w:val="16"/>
                <w:szCs w:val="16"/>
              </w:rPr>
              <w:t xml:space="preserve">9.4±0.3</w:t>
            </w:r>
          </w:p>
        </w:tc>
        <w:tc>
          <w:tcPr>
            <w:tcW w:w="880" w:type="dxa"/>
            <w:tcBorders>
              <w:top w:val="nil"/>
              <w:left w:val="nil"/>
              <w:bottom w:val="nil"/>
              <w:right w:val="nil"/>
            </w:tcBorders>
            <w:vAlign w:val="center"/>
          </w:tcPr>
          <w:p>
            <w:pPr>
              <w:spacing w:before="20" w:after="20"/>
              <w:jc w:val="center"/>
            </w:pPr>
            <w:r>
              <w:rPr>
                <w:sz w:val="16"/>
                <w:szCs w:val="16"/>
              </w:rPr>
              <w:t xml:space="preserve">7.4±0.2</w:t>
            </w:r>
          </w:p>
        </w:tc>
        <w:tc>
          <w:tcPr>
            <w:tcW w:w="880" w:type="dxa"/>
            <w:tcBorders>
              <w:top w:val="nil"/>
              <w:left w:val="nil"/>
              <w:bottom w:val="nil"/>
              <w:right w:val="nil"/>
            </w:tcBorders>
            <w:vAlign w:val="center"/>
          </w:tcPr>
          <w:p>
            <w:pPr>
              <w:spacing w:before="20" w:after="20"/>
              <w:jc w:val="center"/>
            </w:pPr>
            <w:r>
              <w:rPr>
                <w:sz w:val="16"/>
                <w:szCs w:val="16"/>
              </w:rPr>
              <w:t xml:space="preserve">1.9±0.1</w:t>
            </w:r>
          </w:p>
        </w:tc>
      </w:tr>
      <w:tr>
        <w:trPr>
          <w:cantSplit/>
        </w:trPr>
        <w:tc>
          <w:tcPr>
            <w:tcW w:w="1150" w:type="dxa"/>
            <w:tcBorders>
              <w:top w:val="nil"/>
              <w:left w:val="nil"/>
              <w:bottom w:val="nil"/>
              <w:right w:val="nil"/>
            </w:tcBorders>
            <w:vAlign w:val="center"/>
          </w:tcPr>
          <w:p>
            <w:pPr>
              <w:spacing w:before="20" w:after="20"/>
              <w:jc w:val="left"/>
            </w:pPr>
            <w:r>
              <w:rPr>
                <w:sz w:val="16"/>
                <w:szCs w:val="16"/>
              </w:rPr>
              <w:t xml:space="preserve">Adaptive SMC</w:t>
            </w:r>
          </w:p>
        </w:tc>
        <w:tc>
          <w:tcPr>
            <w:tcW w:w="880" w:type="dxa"/>
            <w:tcBorders>
              <w:top w:val="nil"/>
              <w:left w:val="nil"/>
              <w:bottom w:val="nil"/>
              <w:right w:val="nil"/>
            </w:tcBorders>
            <w:vAlign w:val="center"/>
          </w:tcPr>
          <w:p>
            <w:pPr>
              <w:spacing w:before="20" w:after="20"/>
              <w:jc w:val="center"/>
            </w:pPr>
            <w:r>
              <w:rPr>
                <w:sz w:val="16"/>
                <w:szCs w:val="16"/>
              </w:rPr>
              <w:t xml:space="preserve">4.6±0.2</w:t>
            </w:r>
          </w:p>
        </w:tc>
        <w:tc>
          <w:tcPr>
            <w:tcW w:w="880" w:type="dxa"/>
            <w:tcBorders>
              <w:top w:val="nil"/>
              <w:left w:val="nil"/>
              <w:bottom w:val="nil"/>
              <w:right w:val="nil"/>
            </w:tcBorders>
            <w:vAlign w:val="center"/>
          </w:tcPr>
          <w:p>
            <w:pPr>
              <w:spacing w:before="20" w:after="20"/>
              <w:jc w:val="center"/>
            </w:pPr>
            <w:r>
              <w:rPr>
                <w:sz w:val="16"/>
                <w:szCs w:val="16"/>
              </w:rPr>
              <w:t xml:space="preserve">3.1±0.1</w:t>
            </w:r>
          </w:p>
        </w:tc>
        <w:tc>
          <w:tcPr>
            <w:tcW w:w="880" w:type="dxa"/>
            <w:tcBorders>
              <w:top w:val="nil"/>
              <w:left w:val="nil"/>
              <w:bottom w:val="nil"/>
              <w:right w:val="nil"/>
            </w:tcBorders>
            <w:vAlign w:val="center"/>
          </w:tcPr>
          <w:p>
            <w:pPr>
              <w:spacing w:before="20" w:after="20"/>
              <w:jc w:val="center"/>
            </w:pPr>
            <w:r>
              <w:rPr>
                <w:sz w:val="16"/>
                <w:szCs w:val="16"/>
              </w:rPr>
              <w:t xml:space="preserve">9.0±0.5</w:t>
            </w:r>
          </w:p>
        </w:tc>
        <w:tc>
          <w:tcPr>
            <w:tcW w:w="880" w:type="dxa"/>
            <w:tcBorders>
              <w:top w:val="nil"/>
              <w:left w:val="nil"/>
              <w:bottom w:val="nil"/>
              <w:right w:val="nil"/>
            </w:tcBorders>
            <w:vAlign w:val="center"/>
          </w:tcPr>
          <w:p>
            <w:pPr>
              <w:spacing w:before="20" w:after="20"/>
              <w:jc w:val="center"/>
            </w:pPr>
            <w:r>
              <w:rPr>
                <w:sz w:val="16"/>
                <w:szCs w:val="16"/>
              </w:rPr>
              <w:t xml:space="preserve">4.8±0.4</w:t>
            </w:r>
          </w:p>
        </w:tc>
      </w:tr>
    </w:tbl>
    <w:p>
      <w:pPr>
        <w:pStyle w:val="FootnoteText"/>
        <w:spacing w:before="40" w:after="100"/>
        <w:ind w:firstLine="0"/>
      </w:pPr>
      <w:r>
        <w:t xml:space="preserve">0: the output never left the band. †: one of three seeds never returned to the band before the run ended.</w:t>
      </w:r>
    </w:p>
    <w:p>
      <w:pPr>
        <w:pStyle w:val="FigureCaption"/>
        <w:keepNext/>
        <w:jc w:val="center"/>
      </w:pPr>
      <w:r>
        <w:drawing>
          <wp:inline distT="0" distB="0" distL="0" distR="0">
            <wp:extent cx="3017520" cy="1801504"/>
            <wp:effectExtent l="0" t="0" r="0" b="0"/>
            <wp:docPr id="103" name="Figure 3" descr="Duty cycle after *V*_{in} 12 → 14 V: three direct-TD3 seeds against the fixed PID and S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duty.png" descr="Duty cycle after *V*_{in} 12 → 14 V: three direct-TD3 seeds against the fixed PID and SMC."/>
                    <pic:cNvPicPr>
                      <a:picLocks noChangeAspect="1"/>
                    </pic:cNvPicPr>
                  </pic:nvPicPr>
                  <pic:blipFill>
                    <a:blip r:embed="rId103"/>
                    <a:stretch>
                      <a:fillRect/>
                    </a:stretch>
                  </pic:blipFill>
                  <pic:spPr>
                    <a:xfrm>
                      <a:off x="0" y="0"/>
                      <a:ext cx="3017520" cy="1801504"/>
                    </a:xfrm>
                    <a:prstGeom prst="rect">
                      <a:avLst/>
                    </a:prstGeom>
                  </pic:spPr>
                </pic:pic>
              </a:graphicData>
            </a:graphic>
          </wp:inline>
        </w:drawing>
      </w:r>
    </w:p>
    <w:p>
      <w:pPr>
        <w:pStyle w:val="FigCaption"/>
      </w:pPr>
      <w:r>
        <w:t xml:space="preserve">Duty cycle after </w:t>
      </w:r>
      <w:r>
        <w:rPr>
          <w:i/>
        </w:rPr>
        <w:t xml:space="preserve">V</w:t>
      </w:r>
      <w:r>
        <w:rPr>
          <w:vertAlign w:val="subscript"/>
        </w:rPr>
        <w:t xml:space="preserve">in</w:t>
      </w:r>
      <w:r>
        <w:t xml:space="preserve"> 12 → 14 V: three direct-TD3 seeds against the fixed PID and SMC.</w:t>
      </w:r>
    </w:p>
    <w:p>
      <w:pPr>
        <w:pStyle w:val="H2Cont"/>
        <w:numPr>
          <w:ilvl w:val="0"/>
          <w:numId w:val="107"/>
        </w:numPr>
      </w:pPr>
      <w:r>
        <w:t xml:space="preserve">SAFETY RECORD</w:t>
      </w:r>
    </w:p>
    <w:p>
      <w:pPr>
        <w:pStyle w:val="PARA"/>
      </w:pPr>
      <w:r>
        <w:t xml:space="preserve">No protection limit was reached in any of the 55 final evaluation runs (Table V). During training, the direct-TD3 runs triggered 3–6 trips each, all within the first 15,000 steps, whereas the adaptive controllers triggered none. This is consistent with the intended role of the bounds and the supervisor, but it is not a guarantee: the guarantees hold on the linearised model and the tested grids.</w:t>
      </w:r>
    </w:p>
    <w:p>
      <w:pPr>
        <w:pStyle w:val="H1ListSpace"/>
      </w:pPr>
      <w:r>
        <w:t xml:space="preserve">LIMITATIONS</w:t>
      </w:r>
    </w:p>
    <w:p>
      <w:pPr>
        <w:pStyle w:val="PARA"/>
      </w:pPr>
      <w:r>
        <w:t xml:space="preserve">The model is ideal and averaged: it has no inductor resistance, diode drop, capacitor ESR or switching ripple, so real hardware would show more damping and losses, and all gains and bounds would have to be re-derived. Only one circuit and five scenarios were evaluated. Three seeds give only a rough estimate of the spread, and one training configuration was used (200,000 steps, default hyper-parameters), so differences of a few percent between controllers are inconclusive. The SMC senses current and the PID does not, so the baseline comparison is not like for like. The averaged simulation cannot show how the duty-cycle oscillations of direct TD3 would affect real switches, so its good voltage regulation is not evidence that it would be acceptable in hardware.</w:t>
      </w:r>
    </w:p>
    <w:p>
      <w:pPr>
        <w:pStyle w:val="H1ListSpace"/>
      </w:pPr>
      <w:r>
        <w:t xml:space="preserve">CONCLUSION</w:t>
      </w:r>
    </w:p>
    <w:p>
      <w:pPr>
        <w:pStyle w:val="PARA"/>
      </w:pPr>
      <w:r>
        <w:t xml:space="preserve">A validated converter simulator, two systematically tuned baselines and three TD3-based controllers were compared on identical scenarios with three training seeds. A voltage-based sliding surface fails on this non-minimum-phase plant, while a current-based surface works. Learning inside stability-checked bounds and under a supervisor is safe in all evaluated runs but changes performance by only a few percent, and an unconstrained direct policy regulates tightly but moves the duty cycle much more, oscillates intermittently and varies across seeds. No controller was best on every metric. Natural next steps are more seeds and longer training, a stronger duty-change penalty for the direct policy, a more realistic converter model (ESR, diode drop, inductor resistance) with re-derived bounds, and hardware-in-the-loop tests.</w:t>
      </w:r>
    </w:p>
    <w:p>
      <w:pPr>
        <w:pStyle w:val="H1"/>
      </w:pPr>
      <w:r>
        <w:t>REFERENCES</w:t>
      </w:r>
    </w:p>
    <w:p>
      <w:pPr>
        <w:pStyle w:val="References"/>
      </w:pPr>
      <w:r>
        <w:t xml:space="preserve">R. W. Erickson and D. Maksimović, </w:t>
      </w:r>
      <w:r>
        <w:rPr>
          <w:i/>
        </w:rPr>
        <w:t xml:space="preserve">Fundamentals of Power Electronics</w:t>
      </w:r>
      <w:r>
        <w:t xml:space="preserve">, 2nd ed. Norwell, MA, USA: Kluwer, 2001.</w:t>
      </w:r>
    </w:p>
    <w:p>
      <w:pPr>
        <w:pStyle w:val="References"/>
      </w:pPr>
      <w:r>
        <w:t xml:space="preserve">K. J. Åström and T. Hägglund, </w:t>
      </w:r>
      <w:r>
        <w:rPr>
          <w:i/>
        </w:rPr>
        <w:t xml:space="preserve">PID Controllers: Theory, Design, and Tuning</w:t>
      </w:r>
      <w:r>
        <w:t xml:space="preserve">, 2nd ed. Research Triangle Park, NC, USA: ISA, 1995.</w:t>
      </w:r>
    </w:p>
    <w:p>
      <w:pPr>
        <w:pStyle w:val="References"/>
      </w:pPr>
      <w:r>
        <w:t xml:space="preserve">V. I. Utkin, J. Guldner, and J. Shi, </w:t>
      </w:r>
      <w:r>
        <w:rPr>
          <w:i/>
        </w:rPr>
        <w:t xml:space="preserve">Sliding Mode Control in Electro-Mechanical Systems</w:t>
      </w:r>
      <w:r>
        <w:t xml:space="preserve">, 2nd ed. Boca Raton, FL, USA: CRC Press, 2009.</w:t>
      </w:r>
    </w:p>
    <w:p>
      <w:pPr>
        <w:pStyle w:val="References"/>
      </w:pPr>
      <w:r>
        <w:t xml:space="preserve">J.-J. E. Slotine and W. Li, </w:t>
      </w:r>
      <w:r>
        <w:rPr>
          <w:i/>
        </w:rPr>
        <w:t xml:space="preserve">Applied Nonlinear Control</w:t>
      </w:r>
      <w:r>
        <w:t xml:space="preserve">. Englewood Cliffs, NJ, USA: Prentice-Hall, 1991.</w:t>
      </w:r>
    </w:p>
    <w:p>
      <w:pPr>
        <w:pStyle w:val="References"/>
      </w:pPr>
      <w:r>
        <w:t xml:space="preserve">H. Sira-Ramírez and R. Silva-Ortigoza, </w:t>
      </w:r>
      <w:r>
        <w:rPr>
          <w:i/>
        </w:rPr>
        <w:t xml:space="preserve">Control Design Techniques in Power Electronics Devices</w:t>
      </w:r>
      <w:r>
        <w:t xml:space="preserve">. London, U.K.: Springer, 2006.</w:t>
      </w:r>
    </w:p>
    <w:p>
      <w:pPr>
        <w:pStyle w:val="References"/>
      </w:pPr>
      <w:r>
        <w:t xml:space="preserve">S. Skogestad and I. Postlethwaite, </w:t>
      </w:r>
      <w:r>
        <w:rPr>
          <w:i/>
        </w:rPr>
        <w:t xml:space="preserve">Multivariable Feedback Control: Analysis and Design</w:t>
      </w:r>
      <w:r>
        <w:t xml:space="preserve">, 2nd ed. Chichester, U.K.: Wiley, 2005.</w:t>
      </w:r>
    </w:p>
    <w:p>
      <w:pPr>
        <w:pStyle w:val="References"/>
      </w:pPr>
      <w:r>
        <w:t xml:space="preserve">R. S. Sutton and A. G. Barto, </w:t>
      </w:r>
      <w:r>
        <w:rPr>
          <w:i/>
        </w:rPr>
        <w:t xml:space="preserve">Reinforcement Learning: An Introduction</w:t>
      </w:r>
      <w:r>
        <w:t xml:space="preserve">, 2nd ed. Cambridge, MA, USA: MIT Press, 2018.</w:t>
      </w:r>
    </w:p>
    <w:p>
      <w:pPr>
        <w:pStyle w:val="References"/>
      </w:pPr>
      <w:r>
        <w:t xml:space="preserve">T. P. Lillicrap </w:t>
      </w:r>
      <w:r>
        <w:rPr>
          <w:i/>
        </w:rPr>
        <w:t xml:space="preserve">et al.</w:t>
      </w:r>
      <w:r>
        <w:t xml:space="preserve">, “Continuous control with deep reinforcement learning,” in </w:t>
      </w:r>
      <w:r>
        <w:rPr>
          <w:i/>
        </w:rPr>
        <w:t xml:space="preserve">Proc. Int. Conf. Learn. Represent. (ICLR)</w:t>
      </w:r>
      <w:r>
        <w:t xml:space="preserve">, San Juan, Puerto Rico, 2016.</w:t>
      </w:r>
    </w:p>
    <w:p>
      <w:pPr>
        <w:pStyle w:val="References"/>
      </w:pPr>
      <w:r>
        <w:t xml:space="preserve">S. Fujimoto, H. van Hoof, and D. Meger, “Addressing function approximation error in actor-critic methods,” in </w:t>
      </w:r>
      <w:r>
        <w:rPr>
          <w:i/>
        </w:rPr>
        <w:t xml:space="preserve">Proc. 35th Int. Conf. Mach. Learn. (ICML)</w:t>
      </w:r>
      <w:r>
        <w:t xml:space="preserve">, Stockholm, Sweden, 2018, pp. 1587–1596.</w:t>
      </w:r>
    </w:p>
    <w:p>
      <w:pPr>
        <w:pStyle w:val="References"/>
      </w:pPr>
      <w:r>
        <w:t xml:space="preserve">A. Raffin, A. Hill, A. Gleave, A. Kanervisto, M. Ernestus, and N. Dormann, “Stable-Baselines3: Reliable reinforcement learning implementations,” </w:t>
      </w:r>
      <w:r>
        <w:rPr>
          <w:i/>
        </w:rPr>
        <w:t xml:space="preserve">J. Mach. Learn. Res.</w:t>
      </w:r>
      <w:r>
        <w:t xml:space="preserve">, vol. 22, no. 268, pp. 1–8, 2021.</w:t>
      </w:r>
    </w:p>
    <w:p>
      <w:pPr>
        <w:pStyle w:val="References"/>
      </w:pPr>
      <w:r>
        <w:t xml:space="preserve">M. Towers </w:t>
      </w:r>
      <w:r>
        <w:rPr>
          <w:i/>
        </w:rPr>
        <w:t xml:space="preserve">et al.</w:t>
      </w:r>
      <w:r>
        <w:t xml:space="preserve">, “Gymnasium: A standard interface for reinforcement learning environments,” 2024, </w:t>
      </w:r>
      <w:r>
        <w:rPr>
          <w:i/>
        </w:rPr>
        <w:t xml:space="preserve">arXiv:2407.17032</w:t>
      </w:r>
      <w:r>
        <w:t xml:space="preserve">.</w:t>
      </w:r>
    </w:p>
    <w:p>
      <w:pPr>
        <w:pStyle w:val="References"/>
      </w:pPr>
      <w:r>
        <w:t xml:space="preserve">P. Virtanen </w:t>
      </w:r>
      <w:r>
        <w:rPr>
          <w:i/>
        </w:rPr>
        <w:t xml:space="preserve">et al.</w:t>
      </w:r>
      <w:r>
        <w:t xml:space="preserve">, “SciPy 1.0: Fundamental algorithms for scientific computing in Python,” </w:t>
      </w:r>
      <w:r>
        <w:rPr>
          <w:i/>
        </w:rPr>
        <w:t xml:space="preserve">Nature Methods</w:t>
      </w:r>
      <w:r>
        <w:t xml:space="preserve">, vol. 17, pp. 261–272, 2020.</w:t>
      </w:r>
    </w:p>
    <w:sectPr>
      <w:headerReference w:type="default" r:id="rId12"/>
      <w:footerReference w:type="default" r:id="rId1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OCTOBER 2026</w:t>
    </w:r>
    <w:r w:rsidRPr="00B979BB">
      <w:rPr>
        <w:rFonts w:ascii="Helvetica" w:hAnsi="Helvetica" w:cs="FormataOTF-Reg"/>
        <w:sz w:val="12"/>
        <w:szCs w:val="12"/>
      </w:rPr>
      <w:tab/>
    </w:r>
    <w:fldSimple w:instr=" PAGE ">
      <w:r>
        <w:rPr>
          <w:rFonts w:ascii="Helvetica" w:hAnsi="Helvetica" w:cs="FormataOTF-Reg"/>
          <w:sz w:val="12"/>
          <w:szCs w:val="12"/>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Murugadasan</w:t>
    </w:r>
    <w:r w:rsidRPr="00B979BB">
      <w:rPr>
        <w:rFonts w:ascii="Helvetica" w:hAnsi="Helvetica" w:cs="FormataOTF-Reg"/>
        <w:sz w:val="14"/>
        <w:szCs w:val="14"/>
      </w:rPr>
      <w:t xml:space="preserve">: </w:t>
    </w:r>
    <w:r w:rsidRPr="00CB191E">
      <w:rPr>
        <w:rFonts w:ascii="Helvetica" w:hAnsi="Helvetica" w:cs="FormataOTF-Reg"/>
        <w:sz w:val="14"/>
        <w:szCs w:val="14"/>
      </w:rPr>
      <w:t>Safe RL Tuning of PID and Sliding-Mode Control for a Boost Converter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abstractNum w:abstractNumId="60" w15:restartNumberingAfterBreak="0">
    <w:nsid w:val="4A6B7C8D"/>
    <w:multiLevelType w:val="multilevel"/>
    <w:tmpl w:val="5B7C8D9E"/>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 w:numId="101">
    <w:abstractNumId w:val="60"/>
    <w:lvlOverride w:ilvl="0">
      <w:startOverride w:val="1"/>
    </w:lvlOverride>
  </w:num>
  <w:num w:numId="102">
    <w:abstractNumId w:val="60"/>
    <w:lvlOverride w:ilvl="0">
      <w:startOverride w:val="1"/>
    </w:lvlOverride>
  </w:num>
  <w:num w:numId="103">
    <w:abstractNumId w:val="60"/>
    <w:lvlOverride w:ilvl="0">
      <w:startOverride w:val="1"/>
    </w:lvlOverride>
  </w:num>
  <w:num w:numId="104">
    <w:abstractNumId w:val="60"/>
    <w:lvlOverride w:ilvl="0">
      <w:startOverride w:val="1"/>
    </w:lvlOverride>
  </w:num>
  <w:num w:numId="105">
    <w:abstractNumId w:val="60"/>
    <w:lvlOverride w:ilvl="0">
      <w:startOverride w:val="1"/>
    </w:lvlOverride>
  </w:num>
  <w:num w:numId="106">
    <w:abstractNumId w:val="60"/>
    <w:lvlOverride w:ilvl="0">
      <w:startOverride w:val="1"/>
    </w:lvlOverride>
  </w:num>
  <w:num w:numId="107">
    <w:abstractNumId w:val="60"/>
    <w:lvlOverride w:ilvl="0">
      <w:startOverride w:val="1"/>
    </w:lvlOverride>
  </w:num>
  <w:num w:numId="108">
    <w:abstractNumId w:val="60"/>
    <w:lvlOverride w:ilvl="0">
      <w:startOverride w:val="1"/>
    </w:lvlOverride>
  </w:num>
  <w:num w:numId="109">
    <w:abstractNumId w:val="60"/>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25" Type="http://schemas.openxmlformats.org/officeDocument/2006/relationships/footer" Target="footer8.xml"/><Relationship Id="rId2" Type="http://schemas.openxmlformats.org/officeDocument/2006/relationships/numbering" Target="numbering.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27" Type="http://schemas.openxmlformats.org/officeDocument/2006/relationships/theme" Target="theme/theme1.xml"/><Relationship Id="rId101" Type="http://schemas.openxmlformats.org/officeDocument/2006/relationships/image" Target="media/fig_architecture.png"/><Relationship Id="rId102" Type="http://schemas.openxmlformats.org/officeDocument/2006/relationships/image" Target="media/fig_waveforms.png"/><Relationship Id="rId103" Type="http://schemas.openxmlformats.org/officeDocument/2006/relationships/image" Target="media/fig_duty.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Reinforcement-Learning-Based Tuning of PID and Sliding-Mode Controllers for a DC-DC Boost Converter</dc:title>
  <dc:creator>Reththika Murugadasan</dc:creator>
  <cp:lastModifiedBy>Reththika Murugadasan</cp:lastModifiedBy>
  <cp:revision>4</cp:revision>
  <cp:lastPrinted>2022-11-11T11:49:00Z</cp:lastPrinted>
  <dcterms:created xsi:type="dcterms:W3CDTF">2024-04-29T14:52:00Z</dcterms:created>
  <dcterms:modified xsi:type="dcterms:W3CDTF">2024-04-30T12:36:00Z</dcterms:modified>
</cp:coreProperties>
</file>