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a="http://schemas.openxmlformats.org/draw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C7CD7" w:rsidP="008C7CD7" w:rsidRDefault="008C7CD7" w14:paraId="034B4555" w14:textId="77777777">
      <w:pPr>
        <w:pStyle w:val="Title"/>
        <w:bidi w:val="true"/>
      </w:pPr>
      <w:r w:rsidRPr="001543C1">
        <w:rPr>
          <w:rtl w:val="true"/>
          <w:lang w:bidi="Arabic"/>
        </w:rPr>
        <w:t xml:space="preserve">ترجمة الوثائق </w:t>
      </w:r>
    </w:p>
    <w:p w:rsidR="008C7CD7" w:rsidP="008C7CD7" w:rsidRDefault="008C7CD7" w14:paraId="79AF7331" w14:textId="77777777">
      <w:pPr>
        <w:pStyle w:val="Heading1"/>
        <w:bidi w:val="true"/>
      </w:pPr>
      <w:bookmarkStart w:name="_Toc64289500" w:id="0"/>
      <w:r>
        <w:rPr>
          <w:rtl w:val="true"/>
          <w:lang w:bidi="Arabic"/>
        </w:rPr>
        <w:t>نظره عامه</w:t>
      </w:r>
      <w:bookmarkEnd w:id="0"/>
    </w:p>
    <w:p w:rsidR="00A54AF5" w:rsidP="008C7CD7" w:rsidRDefault="008C7CD7" w14:paraId="3253C51E" w14:textId="6BD8712F">
      <w:pPr>
        <w:bidi w:val="true"/>
        <w:rPr>
          <w:shd w:val="clear" w:color="auto" w:fill="FFFFFF"/>
        </w:rPr>
      </w:pPr>
      <w:r>
        <w:rPr>
          <w:shd w:val="clear" w:color="auto" w:fill="FFFFFF"/>
          <w:rtl w:val="true"/>
          <w:lang w:bidi="Arabic"/>
        </w:rPr>
        <w:t xml:space="preserve">ترجمة المستندات هي ميزة جديدة في </w:t>
      </w:r>
      <w:hyperlink w:history="1" r:id="rId7">
        <w:r w:rsidRPr="00334E5D">
          <w:rPr>
            <w:rStyle w:val="Hyperlink"/>
            <w:rFonts w:ascii="Helvetica" w:hAnsi="Helvetica" w:cs="Helvetica"/>
            <w:sz w:val="20"/>
            <w:szCs w:val="20"/>
            <w:shd w:val="clear" w:color="auto" w:fill="FFFFFF"/>
            <w:rtl w:val="true"/>
            <w:lang w:bidi="Arabic"/>
          </w:rPr>
          <w:t>خدمة Azure Translator</w:t>
        </w:r>
      </w:hyperlink>
      <w:r w:rsidRPr="00FF2789">
        <w:rPr>
          <w:shd w:val="clear" w:color="auto" w:fill="FFFFFF"/>
          <w:rtl w:val="true"/>
          <w:lang w:bidi="Arabic"/>
        </w:rPr>
        <w:t xml:space="preserve"> تمكن المؤسسات ووكالات الترجمة والمستهلكين الذين يحتاجون إلى ترجمة كميات كبيرة من المستندات المعقدة إلى لغة واحدة أو أكثر مع الحفاظ على البنية والتنسيق في المستند الأصلي. يقوم بترجمة مستندات كاملة بشكل غير متزامن في مجموعة متنوعة من تنسيقات الملفات بما في ذلك </w:t>
      </w:r>
      <w:r w:rsidRPr="00FE4A57">
        <w:rPr>
          <w:b/>
          <w:bCs/>
          <w:shd w:val="clear" w:color="auto" w:fill="FFFFFF"/>
          <w:rtl w:val="true"/>
          <w:lang w:bidi="Arabic"/>
        </w:rPr>
        <w:t xml:space="preserve">Text و HTML و Word و Excel و PowerPoint و Outlook و PDF و Markdown </w:t>
      </w:r>
      <w:r w:rsidR="00B45875">
        <w:rPr>
          <w:shd w:val="clear" w:color="auto" w:fill="FFFFFF"/>
          <w:rtl w:val="true"/>
          <w:lang w:bidi="Arabic"/>
        </w:rPr>
        <w:t xml:space="preserve"/>
      </w:r>
      <w:r w:rsidRPr="00FF2789">
        <w:rPr>
          <w:shd w:val="clear" w:color="auto" w:fill="FFFFFF"/>
          <w:rtl w:val="true"/>
          <w:lang w:bidi="Arabic"/>
        </w:rPr>
        <w:t xml:space="preserve">عبر أي من </w:t>
      </w:r>
      <w:r w:rsidRPr="00FE4A57">
        <w:rPr>
          <w:b/>
          <w:bCs/>
          <w:highlight w:val="yellow"/>
          <w:shd w:val="clear" w:color="auto" w:fill="FFFFFF"/>
          <w:rtl w:val="true"/>
          <w:lang w:bidi="Arabic"/>
        </w:rPr>
        <w:t>اللغات واللهجات ال 111</w:t>
      </w:r>
      <w:r w:rsidRPr="00FF2789">
        <w:rPr>
          <w:shd w:val="clear" w:color="auto" w:fill="FFFFFF"/>
          <w:rtl w:val="true"/>
          <w:lang w:bidi="Arabic"/>
        </w:rPr>
        <w:t xml:space="preserve"> التي تدعمها خدمة المترجم.</w:t>
      </w:r>
    </w:p>
    <w:p w:rsidR="008C7CD7" w:rsidP="008C7CD7" w:rsidRDefault="008C7CD7" w14:paraId="52C2CFF3" w14:textId="77777777">
      <w:pPr>
        <w:bidi w:val="true"/>
        <w:rPr>
          <w:shd w:val="clear" w:color="auto" w:fill="FFFFFF"/>
        </w:rPr>
      </w:pPr>
      <w:r w:rsidRPr="008C7CD7">
        <w:rPr>
          <w:noProof/>
          <w:rtl w:val="true"/>
          <w:lang w:bidi="Arabic"/>
        </w:rPr>
        <mc:AlternateContent>
          <mc:Choice Requires="wpi">
            <w:drawing>
              <wp:anchor distT="0" distB="0" distL="114300" distR="114300" simplePos="0" relativeHeight="251659264" behindDoc="0" locked="0" layoutInCell="1" allowOverlap="1" wp14:editId="5EA24013" wp14:anchorId="759B3737">
                <wp:simplePos x="0" y="0"/>
                <wp:positionH relativeFrom="column">
                  <wp:posOffset>2413748</wp:posOffset>
                </wp:positionH>
                <wp:positionV relativeFrom="paragraph">
                  <wp:posOffset>101545</wp:posOffset>
                </wp:positionV>
                <wp:extent cx="360" cy="360"/>
                <wp:effectExtent l="0" t="0" r="0" b="0"/>
                <wp:wrapNone/>
                <wp:docPr id="5" name="Ink 5"/>
                <wp:cNvGraphicFramePr/>
                <a:graphic xmlns:a="http://schemas.openxmlformats.org/drawingml/2006/main">
                  <a:graphicData uri="http://schemas.microsoft.com/office/word/2010/wordprocessingInk">
                    <w14:contentPart r:id="rId8" bwMode="auto">
                      <w14:nvContentPartPr>
                        <w14:cNvContentPartPr/>
                      </w14:nvContentPartPr>
                      <w14:xfrm>
                        <a:off x="0" y="0"/>
                        <a:ext cx="360" cy="360"/>
                      </w14:xfrm>
                    </w14:contentPart>
                  </a:graphicData>
                </a:graphic>
              </wp:anchor>
            </w:drawing>
          </mc:Choice>
          <mc:Fallback>
            <w:pict>
              <v:shapetype id="_x0000_t75" coordsize="21600,21600" filled="f" stroked="f" o:spt="75" o:preferrelative="t" path="m@4@5l@4@11@9@11@9@5xe" w14:anchorId="139D2BAA">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Ink 5" style="position:absolute;margin-left:189.35pt;margin-top:7.3pt;width:1.45pt;height:1.45pt;z-index:251659264;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">
                <v:imagedata o:title="" r:id="rId9"/>
              </v:shape>
            </w:pict>
          </mc:Fallback>
        </mc:AlternateContent>
      </w:r>
      <w:r w:rsidRPr="008C7CD7">
        <w:rPr>
          <w:shd w:val="clear" w:color="auto" w:fill="FFFFFF"/>
          <w:rtl w:val="true"/>
          <w:lang w:bidi="Arabic"/>
        </w:rPr>
        <w:t xml:space="preserve">تقبل عروض الترجمة القياسية في السوق النص العادي أو html فقط ، وتحد من عدد الأحرف في الطلب. يجب على المستخدمين الذين يترجمون مستندات كبيرة تحليل المستندات لاستخراج النص وتقسيمها إلى أقسام أصغر وترجمتها بشكل منفصل. إذا تم تقسيم الجمل في نقطة توقف غير طبيعية ، فقد تفقد السياق مما يؤدي إلى ترجمات دون المستوى الأمثل. عند استلام نتائج الترجمة ، يجب على العميل دمج القطع المترجمة في المستند المترجم. يتضمن ذلك تتبع القطعة المترجمة التي تتوافق مع القسم المكافئ في المستند الأصلي. تتعقد المشكلة عندما يرغب العملاء في ترجمة مستندات معقدة تحتوي على محتوى غني. </w:t>
      </w:r>
      <w:proofErr w:type="gramStart"/>
      <w:proofErr w:type="gramEnd"/>
    </w:p>
    <w:p w:rsidR="008C7CD7" w:rsidP="008C7CD7" w:rsidRDefault="008C7CD7" w14:paraId="16B09132" w14:textId="77777777">
      <w:pPr>
        <w:bidi w:val="true"/>
        <w:rPr>
          <w:shd w:val="clear" w:color="auto" w:fill="FFFFFF"/>
        </w:rPr>
      </w:pPr>
      <w:r>
        <w:rPr>
          <w:shd w:val="clear" w:color="auto" w:fill="FFFFFF"/>
          <w:rtl w:val="true"/>
          <w:lang w:bidi="Arabic"/>
        </w:rPr>
        <w:t>تسهل ترجمة المستندات على العميل ترجمة:</w:t>
      </w:r>
    </w:p>
    <w:p w:rsidRPr="008C7CD7" w:rsidR="008C7CD7" w:rsidP="008C7CD7" w:rsidRDefault="008C7CD7" w14:paraId="0EBEDE91" w14:textId="77777777">
      <w:pPr>
        <w:pStyle w:val="ListParagraph"/>
        <w:numPr>
          <w:ilvl w:val="0"/>
          <w:numId w:val="3"/>
        </w:numPr>
        <w:bidi w:val="true"/>
        <w:rPr>
          <w:shd w:val="clear" w:color="auto" w:fill="FFFFFF"/>
        </w:rPr>
      </w:pPr>
      <w:r w:rsidRPr="008C7CD7">
        <w:rPr>
          <w:shd w:val="clear" w:color="auto" w:fill="FFFFFF"/>
          <w:rtl w:val="true"/>
          <w:lang w:bidi="Arabic"/>
        </w:rPr>
        <w:t xml:space="preserve">مجلدات من الوثائق الكبيرة ، </w:t>
      </w:r>
    </w:p>
    <w:p w:rsidRPr="008C7CD7" w:rsidR="008C7CD7" w:rsidP="008C7CD7" w:rsidRDefault="008C7CD7" w14:paraId="4B6D2B61" w14:textId="77777777">
      <w:pPr>
        <w:pStyle w:val="ListParagraph"/>
        <w:numPr>
          <w:ilvl w:val="0"/>
          <w:numId w:val="3"/>
        </w:numPr>
        <w:bidi w:val="true"/>
        <w:rPr>
          <w:shd w:val="clear" w:color="auto" w:fill="FFFFFF"/>
        </w:rPr>
      </w:pPr>
      <w:r w:rsidRPr="008C7CD7">
        <w:rPr>
          <w:shd w:val="clear" w:color="auto" w:fill="FFFFFF"/>
          <w:rtl w:val="true"/>
          <w:lang w:bidi="Arabic"/>
        </w:rPr>
        <w:t xml:space="preserve">المستندات في مجموعة متنوعة من تنسيقات الملفات ، </w:t>
      </w:r>
    </w:p>
    <w:p w:rsidRPr="008C7CD7" w:rsidR="008C7CD7" w:rsidP="008C7CD7" w:rsidRDefault="008C7CD7" w14:paraId="362605C0" w14:textId="77777777">
      <w:pPr>
        <w:pStyle w:val="ListParagraph"/>
        <w:numPr>
          <w:ilvl w:val="0"/>
          <w:numId w:val="3"/>
        </w:numPr>
        <w:bidi w:val="true"/>
        <w:rPr>
          <w:shd w:val="clear" w:color="auto" w:fill="FFFFFF"/>
        </w:rPr>
      </w:pPr>
      <w:r w:rsidRPr="008C7CD7">
        <w:rPr>
          <w:shd w:val="clear" w:color="auto" w:fill="FFFFFF"/>
          <w:rtl w:val="true"/>
          <w:lang w:bidi="Arabic"/>
        </w:rPr>
        <w:t xml:space="preserve">المستندات التي تتطلب الحفاظ على التصميم والتنسيق الأصليين ، و </w:t>
      </w:r>
    </w:p>
    <w:p w:rsidRPr="008C7CD7" w:rsidR="008C7CD7" w:rsidP="008C7CD7" w:rsidRDefault="008C7CD7" w14:paraId="6BB76499" w14:textId="77777777">
      <w:pPr>
        <w:pStyle w:val="ListParagraph"/>
        <w:numPr>
          <w:ilvl w:val="0"/>
          <w:numId w:val="3"/>
        </w:numPr>
        <w:bidi w:val="true"/>
        <w:rPr>
          <w:shd w:val="clear" w:color="auto" w:fill="FFFFFF"/>
        </w:rPr>
      </w:pPr>
      <w:r w:rsidRPr="008C7CD7">
        <w:rPr>
          <w:shd w:val="clear" w:color="auto" w:fill="FFFFFF"/>
          <w:rtl w:val="true"/>
          <w:lang w:bidi="Arabic"/>
        </w:rPr>
        <w:t>المستندات إلى لغات مستهدفة متعددة.</w:t>
      </w:r>
    </w:p>
    <w:p w:rsidRPr="008C7CD7" w:rsidR="008C7CD7" w:rsidP="008C7CD7" w:rsidRDefault="008C7CD7" w14:paraId="6ED53C3E" w14:textId="77777777">
      <w:pPr>
        <w:pStyle w:val="Heading1"/>
        <w:bidi w:val="true"/>
      </w:pPr>
      <w:r w:rsidRPr="008C7CD7">
        <w:rPr>
          <w:rtl w:val="true"/>
          <w:lang w:bidi="Arabic"/>
        </w:rPr>
        <w:t>تجربة المستخدم</w:t>
      </w:r>
    </w:p>
    <w:p w:rsidR="008C7CD7" w:rsidP="008C7CD7" w:rsidRDefault="008C7CD7" w14:paraId="0575008D" w14:textId="23877B3C">
      <w:pPr>
        <w:bidi w:val="true"/>
        <w:rPr>
          <w:shd w:val="clear" w:color="auto" w:fill="FFFFFF"/>
        </w:rPr>
      </w:pPr>
      <w:r>
        <w:rPr>
          <w:shd w:val="clear" w:color="auto" w:fill="FFFFFF"/>
          <w:rtl w:val="true"/>
          <w:lang w:bidi="Arabic"/>
        </w:rPr>
        <w:t>يقدم المستخدم طلبا إلى خدمة ترجمة المستندات يحدد موقع المستندات المصدر والهدف وقائمة اللغات الهدف. تقوم الخدمة بإرجاع معرف يمكن المستخدم من تتبع حالة الترجمة. بشكل غير متزامن ، تسحب ترجمة المستندات كل مستند من الموقع المصدر ، وتتعرف على تنسيق المستند ، وتطبق تقنية التحليل الأيمن لاستخراج المحتوى النصي في المستند ، وتترجم المحتوى النصي إلى اللغات الهدف. ثم يعيد بناء المستند المترجم مع الحفاظ على التخطيط والتنسيق كما هو موجود في المستندات المصدر ، ويخزن المستند المترجم في موقع محدد. تقوم ترجمة المستندات بتحديث حالة الترجمة إما على مستوى الوظيفة أو المستند.</w:t>
      </w:r>
    </w:p>
    <w:p w:rsidR="00C13FF0" w:rsidP="003B01EE" w:rsidRDefault="00EE5C44" w14:paraId="1F8F6AFD" w14:textId="4E7BF0E1">
      <w:pPr>
        <w:bidi w:val="true"/>
        <w:rPr>
          <w:shd w:val="clear" w:color="auto" w:fill="FFFFFF"/>
        </w:rPr>
      </w:pPr>
      <w:r>
        <w:rPr>
          <w:shd w:val="clear" w:color="auto" w:fill="FFFFFF"/>
          <w:rtl w:val="true"/>
          <w:lang w:bidi="Arabic"/>
        </w:rPr>
        <w:t xml:space="preserve">يمكن للمستخدمين توفير معرف نموذج مخصص تم إنشاؤه باستخدام مدخل مترجم مخصص أو مسارد مخصصة أو كليهما كجزء من طلب ترجمة المستندات. تطبق ترجمة المستندات مثل هذا التخصيص مع الاحتفاظ بمصطلحات محددة وتوفير ترجمات خاصة بالمجال في المستندات المترجمة. </w:t>
      </w:r>
    </w:p>
    <w:p w:rsidR="008C7CD7" w:rsidP="008C7CD7" w:rsidRDefault="008C7CD7" w14:paraId="6BEBDE7A" w14:textId="77777777"/>
    <w:sectPr w:rsidR="008C7CD7">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987DEE" w14:textId="77777777" w:rsidR="002E2B81" w:rsidRDefault="002E2B81" w:rsidP="008C7CD7">
      <w:pPr>
        <w:spacing w:after="0" w:line="240" w:lineRule="auto"/>
      </w:pPr>
      <w:r>
        <w:separator/>
      </w:r>
    </w:p>
  </w:endnote>
  <w:endnote w:type="continuationSeparator" w:id="0">
    <w:p w14:paraId="2B70335A" w14:textId="77777777" w:rsidR="002E2B81" w:rsidRDefault="002E2B81" w:rsidP="008C7C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9278B7" w14:textId="77777777" w:rsidR="002E2B81" w:rsidRDefault="002E2B81" w:rsidP="008C7CD7">
      <w:pPr>
        <w:spacing w:after="0" w:line="240" w:lineRule="auto"/>
      </w:pPr>
      <w:r>
        <w:separator/>
      </w:r>
    </w:p>
  </w:footnote>
  <w:footnote w:type="continuationSeparator" w:id="0">
    <w:p w14:paraId="0B6C04D4" w14:textId="77777777" w:rsidR="002E2B81" w:rsidRDefault="002E2B81" w:rsidP="008C7CD7">
      <w:pPr>
        <w:spacing w:after="0" w:line="240" w:lineRule="auto"/>
      </w:pPr>
      <w:r>
        <w:continuationSeparator/>
      </w:r>
    </w:p>
  </w:footnote>
</w:footnotes>
</file>

<file path=word/header1.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C7CD7" w:rsidRDefault="008C7CD7" w14:paraId="5BBF9809" w14:textId="195A7C4D">
    <w:pPr>
      <w:pStyle w:val="Header"/>
      <w:bidi w:val="true"/>
    </w:pPr>
    <w:r>
      <w:rPr>
        <w:noProof/>
        <w:rtl w:val="true"/>
        <w:lang w:bidi="Arabic"/>
      </w:rPr>
      <w:drawing>
        <wp:inline distT="0" distB="0" distL="0" distR="0" wp14:anchorId="3F5F4E52" wp14:editId="464C6A0B">
          <wp:extent cx="1527048" cy="228600"/>
          <wp:effectExtent l="0" t="0" r="0" b="0"/>
          <wp:docPr id="15" name="Picture 15" descr="شعار Azure أفقي"/>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zure logo horizontal"/>
                  <pic:cNvPicPr>
                    <a:picLocks noChangeAspect="1" noChangeArrowheads="1"/>
                  </pic:cNvPicPr>
                </pic:nvPicPr>
                <pic:blipFill rotWithShape="1">
                  <a:blip r:embed="rId1">
                    <a:extLst>
                      <a:ext uri="{28A0092B-C50C-407E-A947-70E740481C1C}">
                        <a14:useLocalDpi xmlns:a14="http://schemas.microsoft.com/office/drawing/2010/main" val="0"/>
                      </a:ext>
                    </a:extLst>
                  </a:blip>
                  <a:srcRect l="10760" t="32181" r="11213" b="32313"/>
                  <a:stretch/>
                </pic:blipFill>
                <pic:spPr bwMode="auto">
                  <a:xfrm>
                    <a:off x="0" y="0"/>
                    <a:ext cx="1527048" cy="228600"/>
                  </a:xfrm>
                  <a:prstGeom prst="rect">
                    <a:avLst/>
                  </a:prstGeom>
                  <a:noFill/>
                  <a:ln>
                    <a:noFill/>
                  </a:ln>
                  <a:extLst>
                    <a:ext uri="{53640926-AAD7-44D8-BBD7-CCE9431645EC}">
                      <a14:shadowObscured xmlns:a14="http://schemas.microsoft.com/office/drawing/2010/main"/>
                    </a:ext>
                  </a:extLst>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AA1918"/>
    <w:multiLevelType w:val="hybridMultilevel"/>
    <w:tmpl w:val="D4741740"/>
    <w:lvl w:ilvl="0" w:tplc="04090017">
      <w:start w:val="1"/>
      <w:numFmt w:val="arabicAlpha"/>
      <w:lvlText w:val="%1)"/>
      <w:lvlJc w:val="left"/>
      <w:pPr>
        <w:ind w:left="720" w:hanging="360"/>
      </w:pPr>
    </w:lvl>
    <w:lvl w:ilvl="1" w:tplc="04090019" w:tentative="1">
      <w:start w:val="1"/>
      <w:numFmt w:val="arabicAlpha"/>
      <w:lvlText w:val="%2."/>
      <w:lvlJc w:val="left"/>
      <w:pPr>
        <w:ind w:left="1440" w:hanging="360"/>
      </w:pPr>
    </w:lvl>
    <w:lvl w:ilvl="2" w:tplc="0409001B" w:tentative="1">
      <w:start w:val="1"/>
      <w:numFmt w:val="arabicAbjad"/>
      <w:lvlText w:val="%3."/>
      <w:lvlJc w:val="right"/>
      <w:pPr>
        <w:ind w:left="2160" w:hanging="180"/>
      </w:pPr>
    </w:lvl>
    <w:lvl w:ilvl="3" w:tplc="0409000F" w:tentative="1">
      <w:start w:val="1"/>
      <w:numFmt w:val="decimalFullWidth"/>
      <w:lvlText w:val="%4."/>
      <w:lvlJc w:val="left"/>
      <w:pPr>
        <w:ind w:left="2880" w:hanging="360"/>
      </w:pPr>
    </w:lvl>
    <w:lvl w:ilvl="4" w:tplc="04090019" w:tentative="1">
      <w:start w:val="1"/>
      <w:numFmt w:val="arabicAlpha"/>
      <w:lvlText w:val="%5."/>
      <w:lvlJc w:val="left"/>
      <w:pPr>
        <w:ind w:left="3600" w:hanging="360"/>
      </w:pPr>
    </w:lvl>
    <w:lvl w:ilvl="5" w:tplc="0409001B" w:tentative="1">
      <w:start w:val="1"/>
      <w:numFmt w:val="arabicAbjad"/>
      <w:lvlText w:val="%6."/>
      <w:lvlJc w:val="right"/>
      <w:pPr>
        <w:ind w:left="4320" w:hanging="180"/>
      </w:pPr>
    </w:lvl>
    <w:lvl w:ilvl="6" w:tplc="0409000F" w:tentative="1">
      <w:start w:val="1"/>
      <w:numFmt w:val="decimalFullWidth"/>
      <w:lvlText w:val="%7."/>
      <w:lvlJc w:val="left"/>
      <w:pPr>
        <w:ind w:left="5040" w:hanging="360"/>
      </w:pPr>
    </w:lvl>
    <w:lvl w:ilvl="7" w:tplc="04090019" w:tentative="1">
      <w:start w:val="1"/>
      <w:numFmt w:val="arabicAlpha"/>
      <w:lvlText w:val="%8."/>
      <w:lvlJc w:val="left"/>
      <w:pPr>
        <w:ind w:left="5760" w:hanging="360"/>
      </w:pPr>
    </w:lvl>
    <w:lvl w:ilvl="8" w:tplc="0409001B" w:tentative="1">
      <w:start w:val="1"/>
      <w:numFmt w:val="arabicAbjad"/>
      <w:lvlText w:val="%9."/>
      <w:lvlJc w:val="right"/>
      <w:pPr>
        <w:ind w:left="6480" w:hanging="180"/>
      </w:pPr>
    </w:lvl>
  </w:abstractNum>
  <w:abstractNum w:abstractNumId="1" w15:restartNumberingAfterBreak="0">
    <w:nsid w:val="3435049F"/>
    <w:multiLevelType w:val="hybridMultilevel"/>
    <w:tmpl w:val="3E8001D8"/>
    <w:lvl w:ilvl="0" w:tplc="04090017">
      <w:start w:val="1"/>
      <w:numFmt w:val="arabicAlpha"/>
      <w:lvlText w:val="%1)"/>
      <w:lvlJc w:val="left"/>
      <w:pPr>
        <w:ind w:left="720" w:hanging="360"/>
      </w:pPr>
    </w:lvl>
    <w:lvl w:ilvl="1" w:tplc="FFFFFFFF" w:tentative="1">
      <w:start w:val="1"/>
      <w:numFmt w:val="arabicAlpha"/>
      <w:lvlText w:val="%2."/>
      <w:lvlJc w:val="left"/>
      <w:pPr>
        <w:ind w:left="1440" w:hanging="360"/>
      </w:pPr>
    </w:lvl>
    <w:lvl w:ilvl="2" w:tplc="FFFFFFFF" w:tentative="1">
      <w:start w:val="1"/>
      <w:numFmt w:val="arabicAbjad"/>
      <w:lvlText w:val="%3."/>
      <w:lvlJc w:val="right"/>
      <w:pPr>
        <w:ind w:left="2160" w:hanging="180"/>
      </w:pPr>
    </w:lvl>
    <w:lvl w:ilvl="3" w:tplc="FFFFFFFF" w:tentative="1">
      <w:start w:val="1"/>
      <w:numFmt w:val="decimalFullWidth"/>
      <w:lvlText w:val="%4."/>
      <w:lvlJc w:val="left"/>
      <w:pPr>
        <w:ind w:left="2880" w:hanging="360"/>
      </w:pPr>
    </w:lvl>
    <w:lvl w:ilvl="4" w:tplc="FFFFFFFF" w:tentative="1">
      <w:start w:val="1"/>
      <w:numFmt w:val="arabicAlpha"/>
      <w:lvlText w:val="%5."/>
      <w:lvlJc w:val="left"/>
      <w:pPr>
        <w:ind w:left="3600" w:hanging="360"/>
      </w:pPr>
    </w:lvl>
    <w:lvl w:ilvl="5" w:tplc="FFFFFFFF" w:tentative="1">
      <w:start w:val="1"/>
      <w:numFmt w:val="arabicAbjad"/>
      <w:lvlText w:val="%6."/>
      <w:lvlJc w:val="right"/>
      <w:pPr>
        <w:ind w:left="4320" w:hanging="180"/>
      </w:pPr>
    </w:lvl>
    <w:lvl w:ilvl="6" w:tplc="FFFFFFFF" w:tentative="1">
      <w:start w:val="1"/>
      <w:numFmt w:val="decimalFullWidth"/>
      <w:lvlText w:val="%7."/>
      <w:lvlJc w:val="left"/>
      <w:pPr>
        <w:ind w:left="5040" w:hanging="360"/>
      </w:pPr>
    </w:lvl>
    <w:lvl w:ilvl="7" w:tplc="FFFFFFFF" w:tentative="1">
      <w:start w:val="1"/>
      <w:numFmt w:val="arabicAlpha"/>
      <w:lvlText w:val="%8."/>
      <w:lvlJc w:val="left"/>
      <w:pPr>
        <w:ind w:left="5760" w:hanging="360"/>
      </w:pPr>
    </w:lvl>
    <w:lvl w:ilvl="8" w:tplc="FFFFFFFF" w:tentative="1">
      <w:start w:val="1"/>
      <w:numFmt w:val="arabicAbjad"/>
      <w:lvlText w:val="%9."/>
      <w:lvlJc w:val="right"/>
      <w:pPr>
        <w:ind w:left="6480" w:hanging="180"/>
      </w:pPr>
    </w:lvl>
  </w:abstractNum>
  <w:abstractNum w:abstractNumId="2" w15:restartNumberingAfterBreak="0">
    <w:nsid w:val="61413F2A"/>
    <w:multiLevelType w:val="hybridMultilevel"/>
    <w:tmpl w:val="E64C7936"/>
    <w:lvl w:ilvl="0" w:tplc="0409000F">
      <w:start w:val="1"/>
      <w:numFmt w:val="decimalFullWidth"/>
      <w:lvlText w:val="%1."/>
      <w:lvlJc w:val="left"/>
      <w:pPr>
        <w:ind w:left="720" w:hanging="360"/>
      </w:pPr>
    </w:lvl>
    <w:lvl w:ilvl="1" w:tplc="04090019" w:tentative="1">
      <w:start w:val="1"/>
      <w:numFmt w:val="arabicAlpha"/>
      <w:lvlText w:val="%2."/>
      <w:lvlJc w:val="left"/>
      <w:pPr>
        <w:ind w:left="1440" w:hanging="360"/>
      </w:pPr>
    </w:lvl>
    <w:lvl w:ilvl="2" w:tplc="0409001B" w:tentative="1">
      <w:start w:val="1"/>
      <w:numFmt w:val="arabicAbjad"/>
      <w:lvlText w:val="%3."/>
      <w:lvlJc w:val="right"/>
      <w:pPr>
        <w:ind w:left="2160" w:hanging="180"/>
      </w:pPr>
    </w:lvl>
    <w:lvl w:ilvl="3" w:tplc="0409000F" w:tentative="1">
      <w:start w:val="1"/>
      <w:numFmt w:val="decimalFullWidth"/>
      <w:lvlText w:val="%4."/>
      <w:lvlJc w:val="left"/>
      <w:pPr>
        <w:ind w:left="2880" w:hanging="360"/>
      </w:pPr>
    </w:lvl>
    <w:lvl w:ilvl="4" w:tplc="04090019" w:tentative="1">
      <w:start w:val="1"/>
      <w:numFmt w:val="arabicAlpha"/>
      <w:lvlText w:val="%5."/>
      <w:lvlJc w:val="left"/>
      <w:pPr>
        <w:ind w:left="3600" w:hanging="360"/>
      </w:pPr>
    </w:lvl>
    <w:lvl w:ilvl="5" w:tplc="0409001B" w:tentative="1">
      <w:start w:val="1"/>
      <w:numFmt w:val="arabicAbjad"/>
      <w:lvlText w:val="%6."/>
      <w:lvlJc w:val="right"/>
      <w:pPr>
        <w:ind w:left="4320" w:hanging="180"/>
      </w:pPr>
    </w:lvl>
    <w:lvl w:ilvl="6" w:tplc="0409000F" w:tentative="1">
      <w:start w:val="1"/>
      <w:numFmt w:val="decimalFullWidth"/>
      <w:lvlText w:val="%7."/>
      <w:lvlJc w:val="left"/>
      <w:pPr>
        <w:ind w:left="5040" w:hanging="360"/>
      </w:pPr>
    </w:lvl>
    <w:lvl w:ilvl="7" w:tplc="04090019" w:tentative="1">
      <w:start w:val="1"/>
      <w:numFmt w:val="arabicAlpha"/>
      <w:lvlText w:val="%8."/>
      <w:lvlJc w:val="left"/>
      <w:pPr>
        <w:ind w:left="5760" w:hanging="360"/>
      </w:pPr>
    </w:lvl>
    <w:lvl w:ilvl="8" w:tplc="0409001B" w:tentative="1">
      <w:start w:val="1"/>
      <w:numFmt w:val="arabicAbjad"/>
      <w:lvlText w:val="%9."/>
      <w:lvlJc w:val="right"/>
      <w:pPr>
        <w:ind w:left="6480" w:hanging="180"/>
      </w:pPr>
    </w:lvl>
  </w:abstractNum>
  <w:num w:numId="1" w16cid:durableId="293608908">
    <w:abstractNumId w:val="0"/>
  </w:num>
  <w:num w:numId="2" w16cid:durableId="841744475">
    <w:abstractNumId w:val="2"/>
  </w:num>
  <w:num w:numId="3" w16cid:durableId="150401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7CD7"/>
    <w:rsid w:val="00011FB7"/>
    <w:rsid w:val="00204415"/>
    <w:rsid w:val="002E2B81"/>
    <w:rsid w:val="0037589F"/>
    <w:rsid w:val="003B01EE"/>
    <w:rsid w:val="003D3403"/>
    <w:rsid w:val="004B4B60"/>
    <w:rsid w:val="00520E0E"/>
    <w:rsid w:val="005512EC"/>
    <w:rsid w:val="0065025F"/>
    <w:rsid w:val="006C5A48"/>
    <w:rsid w:val="007B294B"/>
    <w:rsid w:val="007B7CEC"/>
    <w:rsid w:val="00837F44"/>
    <w:rsid w:val="008C7CD7"/>
    <w:rsid w:val="00B45875"/>
    <w:rsid w:val="00BE0582"/>
    <w:rsid w:val="00C13FF0"/>
    <w:rsid w:val="00C33B0F"/>
    <w:rsid w:val="00CE7585"/>
    <w:rsid w:val="00EE5C44"/>
    <w:rsid w:val="00FE4A57"/>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C848D0"/>
  <w15:chartTrackingRefBased/>
  <w15:docId w15:val="{387FEFA9-FF91-40CE-9C47-DAAD8A9BFA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8C7CD7"/>
    <w:rPr>
      <w:rFonts w:eastAsiaTheme="minorEastAsia"/>
      <w:lang w:bidi="ar-SA"/>
    </w:rPr>
  </w:style>
  <w:style w:type="paragraph" w:styleId="Heading1">
    <w:name w:val="heading 1"/>
    <w:basedOn w:val="Normal"/>
    <w:next w:val="Normal"/>
    <w:link w:val="Heading1Char"/>
    <w:uiPriority w:val="9"/>
    <w:qFormat/>
    <w:rsid w:val="008C7CD7"/>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8C7CD7"/>
    <w:pPr>
      <w:tabs>
        <w:tab w:val="center" w:pos="4680"/>
        <w:tab w:val="right" w:pos="9360"/>
      </w:tabs>
      <w:spacing w:after="0" w:line="240" w:lineRule="auto"/>
    </w:pPr>
  </w:style>
  <w:style w:type="character" w:styleId="HeaderChar" w:customStyle="1">
    <w:name w:val="Header Char"/>
    <w:basedOn w:val="DefaultParagraphFont"/>
    <w:link w:val="Header"/>
    <w:uiPriority w:val="99"/>
    <w:rsid w:val="008C7CD7"/>
  </w:style>
  <w:style w:type="paragraph" w:styleId="Footer">
    <w:name w:val="footer"/>
    <w:basedOn w:val="Normal"/>
    <w:link w:val="FooterChar"/>
    <w:uiPriority w:val="99"/>
    <w:unhideWhenUsed/>
    <w:rsid w:val="008C7CD7"/>
    <w:pPr>
      <w:tabs>
        <w:tab w:val="center" w:pos="4680"/>
        <w:tab w:val="right" w:pos="9360"/>
      </w:tabs>
      <w:spacing w:after="0" w:line="240" w:lineRule="auto"/>
    </w:pPr>
  </w:style>
  <w:style w:type="character" w:styleId="FooterChar" w:customStyle="1">
    <w:name w:val="Footer Char"/>
    <w:basedOn w:val="DefaultParagraphFont"/>
    <w:link w:val="Footer"/>
    <w:uiPriority w:val="99"/>
    <w:rsid w:val="008C7CD7"/>
  </w:style>
  <w:style w:type="character" w:styleId="Heading1Char" w:customStyle="1">
    <w:name w:val="Heading 1 Char"/>
    <w:basedOn w:val="DefaultParagraphFont"/>
    <w:link w:val="Heading1"/>
    <w:uiPriority w:val="9"/>
    <w:rsid w:val="008C7CD7"/>
    <w:rPr>
      <w:rFonts w:asciiTheme="majorHAnsi" w:hAnsiTheme="majorHAnsi" w:eastAsiaTheme="majorEastAsia" w:cstheme="majorBidi"/>
      <w:color w:val="2F5496" w:themeColor="accent1" w:themeShade="BF"/>
      <w:sz w:val="32"/>
      <w:szCs w:val="32"/>
      <w:lang w:bidi="ar-SA"/>
    </w:rPr>
  </w:style>
  <w:style w:type="character" w:styleId="Hyperlink">
    <w:name w:val="Hyperlink"/>
    <w:basedOn w:val="DefaultParagraphFont"/>
    <w:uiPriority w:val="99"/>
    <w:unhideWhenUsed/>
    <w:rsid w:val="008C7CD7"/>
    <w:rPr>
      <w:color w:val="0000FF"/>
      <w:u w:val="single"/>
    </w:rPr>
  </w:style>
  <w:style w:type="paragraph" w:styleId="Title">
    <w:name w:val="Title"/>
    <w:basedOn w:val="Normal"/>
    <w:next w:val="Normal"/>
    <w:link w:val="TitleChar"/>
    <w:uiPriority w:val="10"/>
    <w:qFormat/>
    <w:rsid w:val="008C7CD7"/>
    <w:pPr>
      <w:spacing w:after="0" w:line="240" w:lineRule="auto"/>
      <w:contextualSpacing/>
    </w:pPr>
    <w:rPr>
      <w:rFonts w:asciiTheme="majorHAnsi" w:hAnsiTheme="majorHAnsi" w:eastAsiaTheme="majorEastAsia" w:cstheme="majorBidi"/>
      <w:spacing w:val="-10"/>
      <w:sz w:val="56"/>
      <w:szCs w:val="56"/>
    </w:rPr>
  </w:style>
  <w:style w:type="character" w:styleId="TitleChar" w:customStyle="1">
    <w:name w:val="Title Char"/>
    <w:basedOn w:val="DefaultParagraphFont"/>
    <w:link w:val="Title"/>
    <w:uiPriority w:val="10"/>
    <w:rsid w:val="008C7CD7"/>
    <w:rPr>
      <w:rFonts w:asciiTheme="majorHAnsi" w:hAnsiTheme="majorHAnsi" w:eastAsiaTheme="majorEastAsia" w:cstheme="majorBidi"/>
      <w:spacing w:val="-10"/>
      <w:sz w:val="56"/>
      <w:szCs w:val="56"/>
      <w:lang w:bidi="ar-SA"/>
    </w:rPr>
  </w:style>
  <w:style w:type="paragraph" w:styleId="ListParagraph">
    <w:name w:val="List Paragraph"/>
    <w:basedOn w:val="Normal"/>
    <w:uiPriority w:val="34"/>
    <w:qFormat/>
    <w:rsid w:val="008C7C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3" Type="http://schemas.openxmlformats.org/officeDocument/2006/relationships/settings" Target="settings.xml"/><Relationship Id="rId7" Type="http://schemas.openxmlformats.org/officeDocument/2006/relationships/hyperlink" Target="https://azure.microsoft.com/en-us/services/cognitive-services/translator/"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2-21T20:42:08.574"/>
    </inkml:context>
    <inkml:brush xml:id="br0">
      <inkml:brushProperty name="width" value="0.05" units="cm"/>
      <inkml:brushProperty name="height" value="0.05" units="cm"/>
      <inkml:brushProperty name="color" value="#E71224"/>
      <inkml:brushProperty name="ignorePressure" value="1"/>
    </inkml:brush>
  </inkml:definitions>
  <inkml:trace contextRef="#ctx0" brushRef="#br0">1 0,'0'0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Normal.dotm</Template>
  <TotalTime>1</TotalTime>
  <Pages>1</Pages>
  <Words>392</Words>
  <Characters>2239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 januari</dc:creator>
  <cp:keywords/>
  <dc:description/>
  <cp:lastModifiedBy>la januari</cp:lastModifiedBy>
  <cp:revision>2</cp:revision>
  <dcterms:created xsi:type="dcterms:W3CDTF">2022-12-16T19:40:00Z</dcterms:created>
  <dcterms:modified xsi:type="dcterms:W3CDTF">2022-12-16T19:40:00Z</dcterms:modified>
</cp:coreProperties>
</file>