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JP"/>
        <w:jc w:val="left"/>
      </w:pPr>
      <w:r>
        <w:rPr>
          <w:rFonts w:ascii="Noto Sans CJK JP" w:hAnsi="Noto Sans CJK JP" w:eastAsia="Noto Sans CJK JP"/>
          <w:b/>
          <w:color w:val="173F73"/>
          <w:sz w:val="40"/>
        </w:rPr>
        <w:t>マイルストーン1 完了報告書</w:t>
      </w:r>
    </w:p>
    <w:p>
      <w:pPr>
        <w:pStyle w:val="BodyJP"/>
      </w:pPr>
      <w:r>
        <w:rPr>
          <w:rFonts w:ascii="Noto Sans CJK JP" w:hAnsi="Noto Sans CJK JP" w:eastAsia="Noto Sans CJK JP"/>
          <w:b w:val="0"/>
          <w:color w:val="374151"/>
          <w:sz w:val="23"/>
        </w:rPr>
        <w:t>要件整理・仕様設計・データ設計の完了報告および第2段階着手可否の確認資料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4"/>
        <w:gridCol w:w="6520"/>
      </w:tblGrid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pPr>
              <w:pStyle w:val="BodyJP"/>
            </w:pPr>
            <w:r>
              <w:rPr>
                <w:rFonts w:ascii="Noto Sans CJK JP" w:hAnsi="Noto Sans CJK JP" w:eastAsia="Noto Sans CJK JP"/>
                <w:b/>
                <w:color w:val="111827"/>
                <w:sz w:val="20"/>
              </w:rPr>
              <w:t>資料番号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pStyle w:val="BodyJP"/>
            </w:pPr>
            <w:r>
              <w:rPr>
                <w:rFonts w:ascii="Noto Sans CJK JP" w:hAnsi="Noto Sans CJK JP" w:eastAsia="Noto Sans CJK JP"/>
                <w:b w:val="0"/>
                <w:color w:val="111827"/>
                <w:sz w:val="20"/>
              </w:rPr>
              <w:t>MS1-08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pPr>
              <w:pStyle w:val="BodyJP"/>
            </w:pPr>
            <w:r>
              <w:rPr>
                <w:rFonts w:ascii="Noto Sans CJK JP" w:hAnsi="Noto Sans CJK JP" w:eastAsia="Noto Sans CJK JP"/>
                <w:b/>
                <w:color w:val="111827"/>
                <w:sz w:val="20"/>
              </w:rPr>
              <w:t>対象案件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pStyle w:val="BodyJP"/>
            </w:pPr>
            <w:r>
              <w:rPr>
                <w:rFonts w:ascii="Noto Sans CJK JP" w:hAnsi="Noto Sans CJK JP" w:eastAsia="Noto Sans CJK JP"/>
                <w:b w:val="0"/>
                <w:color w:val="111827"/>
                <w:sz w:val="20"/>
              </w:rPr>
              <w:t>引退競走馬支援サイトの運営基盤刷新（会員・支援・寄付・予約管理）</w:t>
            </w:r>
          </w:p>
        </w:tc>
      </w:tr>
      <w:t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pPr>
              <w:pStyle w:val="BodyJP"/>
            </w:pPr>
            <w:r>
              <w:rPr>
                <w:rFonts w:ascii="Noto Sans CJK JP" w:hAnsi="Noto Sans CJK JP" w:eastAsia="Noto Sans CJK JP"/>
                <w:b/>
                <w:color w:val="111827"/>
                <w:sz w:val="20"/>
              </w:rPr>
              <w:t>目的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pStyle w:val="BodyJP"/>
            </w:pPr>
            <w:r>
              <w:rPr>
                <w:rFonts w:ascii="Noto Sans CJK JP" w:hAnsi="Noto Sans CJK JP" w:eastAsia="Noto Sans CJK JP"/>
                <w:b w:val="0"/>
                <w:color w:val="111827"/>
                <w:sz w:val="20"/>
              </w:rPr>
              <w:t>マイルストーン1の成果物として、設計・要件定義・画面方針・移行方針を明文化すること</w:t>
            </w:r>
          </w:p>
        </w:tc>
      </w:tr>
    </w:tbl>
    <w:p/>
    <w:p>
      <w:pPr>
        <w:pStyle w:val="Heading1JP"/>
      </w:pPr>
      <w:r>
        <w:rPr>
          <w:rFonts w:ascii="Noto Sans CJK JP" w:hAnsi="Noto Sans CJK JP" w:eastAsia="Noto Sans CJK JP"/>
          <w:b/>
          <w:color w:val="1D4E89"/>
          <w:sz w:val="28"/>
        </w:rPr>
        <w:t>成果物一覧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3288"/>
        <w:gridCol w:w="4535"/>
      </w:tblGrid>
      <w:tr>
        <w:tc>
          <w:tcPr>
            <w:tcW w:type="dxa" w:w="3324"/>
            <w:shd w:fill="D9EAF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9"/>
              </w:rPr>
              <w:t>No.</w:t>
            </w:r>
          </w:p>
        </w:tc>
        <w:tc>
          <w:tcPr>
            <w:tcW w:type="dxa" w:w="3324"/>
            <w:shd w:fill="D9EAF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9"/>
              </w:rPr>
              <w:t>成果物名</w:t>
            </w:r>
          </w:p>
        </w:tc>
        <w:tc>
          <w:tcPr>
            <w:tcW w:type="dxa" w:w="3324"/>
            <w:shd w:fill="D9EAF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9"/>
              </w:rPr>
              <w:t>役割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1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要件整理書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課題・目的・優先順位の整理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2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機能要件定義書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実装対象機能の明文化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3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画面設計書（会員UI）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会員向け導線とワイヤーフレーム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4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データ構造設計書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Supabase前提のデータモデル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5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移行方針整理書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CSV・契約情報移行の方針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6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Stripe連携設計書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決済・Webhook・状態同期の方針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7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管理画面設計書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運営向け導線とワイヤーフレーム</w:t>
            </w:r>
          </w:p>
        </w:tc>
      </w:tr>
    </w:tbl>
    <w:p/>
    <w:p>
      <w:pPr>
        <w:pStyle w:val="Heading1JP"/>
      </w:pPr>
      <w:r>
        <w:rPr>
          <w:rFonts w:ascii="Noto Sans CJK JP" w:hAnsi="Noto Sans CJK JP" w:eastAsia="Noto Sans CJK JP"/>
          <w:b/>
          <w:color w:val="1D4E89"/>
          <w:sz w:val="28"/>
        </w:rPr>
        <w:t>【1. 完了報告の目的】</w:t>
      </w:r>
    </w:p>
    <w:p>
      <w:pPr>
        <w:pStyle w:val="BodyJP"/>
      </w:pPr>
      <w:r>
        <w:rPr>
          <w:rFonts w:ascii="Noto Sans CJK JP" w:hAnsi="Noto Sans CJK JP" w:eastAsia="Noto Sans CJK JP"/>
          <w:b w:val="0"/>
          <w:sz w:val="21"/>
        </w:rPr>
        <w:t>本資料は、マイルストーン1で実施した「現行運用整理・機能要件整理・画面設計・データ構造設計・移行方針整理・Stripe連携設計・管理画面設計」の成果を統合し、クライアント確認用にまとめたものです。</w:t>
      </w:r>
    </w:p>
    <w:p>
      <w:pPr>
        <w:pStyle w:val="BodyJP"/>
      </w:pPr>
      <w:r>
        <w:rPr>
          <w:rFonts w:ascii="Noto Sans CJK JP" w:hAnsi="Noto Sans CJK JP" w:eastAsia="Noto Sans CJK JP"/>
          <w:b w:val="0"/>
          <w:sz w:val="21"/>
        </w:rPr>
        <w:t>本資料により、初期リリース範囲と設計方針が明確になり、マイルストーン2（基盤開発）へ進める状態であることを確認します。</w:t>
      </w:r>
    </w:p>
    <w:p>
      <w:pPr>
        <w:pStyle w:val="Heading1JP"/>
      </w:pPr>
      <w:r>
        <w:rPr>
          <w:rFonts w:ascii="Noto Sans CJK JP" w:hAnsi="Noto Sans CJK JP" w:eastAsia="Noto Sans CJK JP"/>
          <w:b/>
          <w:color w:val="1D4E89"/>
          <w:sz w:val="28"/>
        </w:rPr>
        <w:t>【2. マイルストーン1で確定したこと】</w:t>
      </w:r>
    </w:p>
    <w:p>
      <w:pPr>
        <w:pStyle w:val="BodyJP"/>
      </w:pPr>
      <w:r>
        <w:rPr>
          <w:rFonts w:ascii="Noto Sans CJK JP" w:hAnsi="Noto Sans CJK JP" w:eastAsia="Noto Sans CJK JP"/>
          <w:b w:val="0"/>
          <w:sz w:val="21"/>
        </w:rPr>
        <w:t>プロジェクトの最優先目的は、新規獲得ではなく継続率向上であること。</w:t>
      </w:r>
    </w:p>
    <w:p>
      <w:pPr>
        <w:pStyle w:val="BodyJP"/>
      </w:pPr>
      <w:r>
        <w:rPr>
          <w:rFonts w:ascii="Noto Sans CJK JP" w:hAnsi="Noto Sans CJK JP" w:eastAsia="Noto Sans CJK JP"/>
          <w:b w:val="0"/>
          <w:sz w:val="21"/>
        </w:rPr>
        <w:t>顧客中心データ構造を採用し、会員・支援・寄付・予約・履歴・決済を一元管理すること。</w:t>
      </w:r>
    </w:p>
    <w:p>
      <w:pPr>
        <w:pStyle w:val="BodyJP"/>
      </w:pPr>
      <w:r>
        <w:rPr>
          <w:rFonts w:ascii="Noto Sans CJK JP" w:hAnsi="Noto Sans CJK JP" w:eastAsia="Noto Sans CJK JP"/>
          <w:b w:val="0"/>
          <w:sz w:val="21"/>
        </w:rPr>
        <w:t>会員向けでは、マイページを起点に支援状況・決済状態・次回決済日を見せること。</w:t>
      </w:r>
    </w:p>
    <w:p>
      <w:pPr>
        <w:pStyle w:val="BodyJP"/>
      </w:pPr>
      <w:r>
        <w:rPr>
          <w:rFonts w:ascii="Noto Sans CJK JP" w:hAnsi="Noto Sans CJK JP" w:eastAsia="Noto Sans CJK JP"/>
          <w:b w:val="0"/>
          <w:sz w:val="21"/>
        </w:rPr>
        <w:t>運営向けでは、顧客横断検索と顧客詳細画面で、全履歴を一画面で確認できること。</w:t>
      </w:r>
    </w:p>
    <w:p>
      <w:pPr>
        <w:pStyle w:val="BodyJP"/>
      </w:pPr>
      <w:r>
        <w:rPr>
          <w:rFonts w:ascii="Noto Sans CJK JP" w:hAnsi="Noto Sans CJK JP" w:eastAsia="Noto Sans CJK JP"/>
          <w:b w:val="0"/>
          <w:sz w:val="21"/>
        </w:rPr>
        <w:t>技術構成は Next.js / Supabase / Stripe を前提とすること。</w:t>
      </w:r>
    </w:p>
    <w:p>
      <w:pPr>
        <w:pStyle w:val="Heading1JP"/>
      </w:pPr>
      <w:r>
        <w:rPr>
          <w:rFonts w:ascii="Noto Sans CJK JP" w:hAnsi="Noto Sans CJK JP" w:eastAsia="Noto Sans CJK JP"/>
          <w:b/>
          <w:color w:val="1D4E89"/>
          <w:sz w:val="28"/>
        </w:rPr>
        <w:t>【3. マイルストーン2で着手する内容】</w:t>
      </w:r>
    </w:p>
    <w:p>
      <w:pPr>
        <w:pStyle w:val="BodyJP"/>
      </w:pPr>
      <w:r>
        <w:rPr>
          <w:rFonts w:ascii="Noto Sans CJK JP" w:hAnsi="Noto Sans CJK JP" w:eastAsia="Noto Sans CJK JP"/>
          <w:b w:val="0"/>
          <w:sz w:val="21"/>
        </w:rPr>
        <w:t>Supabase 基盤の構築、認証・権限設計、顧客テーブル群の作成、支援契約管理、寄付履歴管理、検索機能の実装に着手します。</w:t>
      </w:r>
    </w:p>
    <w:p>
      <w:pPr>
        <w:pStyle w:val="BodyJP"/>
      </w:pPr>
      <w:r>
        <w:rPr>
          <w:rFonts w:ascii="Noto Sans CJK JP" w:hAnsi="Noto Sans CJK JP" w:eastAsia="Noto Sans CJK JP"/>
          <w:b w:val="0"/>
          <w:sz w:val="21"/>
        </w:rPr>
        <w:t>会員向けUIと管理画面UIは、本資料のワイヤーフレームをたたき台として、実装時に最終微調整を行います。</w:t>
      </w:r>
    </w:p>
    <w:p>
      <w:pPr>
        <w:pStyle w:val="Heading1JP"/>
      </w:pPr>
      <w:r>
        <w:rPr>
          <w:rFonts w:ascii="Noto Sans CJK JP" w:hAnsi="Noto Sans CJK JP" w:eastAsia="Noto Sans CJK JP"/>
          <w:b/>
          <w:color w:val="1D4E89"/>
          <w:sz w:val="28"/>
        </w:rPr>
        <w:t>マイルストーン2へ進める理由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8"/>
        <w:gridCol w:w="5556"/>
      </w:tblGrid>
      <w:tr>
        <w:tc>
          <w:tcPr>
            <w:tcW w:type="dxa" w:w="4986"/>
            <w:shd w:fill="D9EAF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9"/>
              </w:rPr>
              <w:t>確認項目</w:t>
            </w:r>
          </w:p>
        </w:tc>
        <w:tc>
          <w:tcPr>
            <w:tcW w:type="dxa" w:w="4986"/>
            <w:shd w:fill="D9EAF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9"/>
              </w:rPr>
              <w:t>現時点の評価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要求の明確化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優先順位と初期リリース範囲が整理済み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画面方針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会員向け／管理向けの主要画面が定義済み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データ設計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主要テーブルと関連方針が整理済み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移行方針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棚卸し→対応表→テスト移行の流れが整理済み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決済設計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Stripe連携方針とWebhook候補が整理済み</w:t>
            </w:r>
          </w:p>
        </w:tc>
      </w:tr>
    </w:tbl>
    <w:p/>
    <w:p>
      <w:pPr>
        <w:pStyle w:val="Heading1JP"/>
      </w:pPr>
      <w:r>
        <w:rPr>
          <w:rFonts w:ascii="Noto Sans CJK JP" w:hAnsi="Noto Sans CJK JP" w:eastAsia="Noto Sans CJK JP"/>
          <w:b/>
          <w:color w:val="1D4E89"/>
          <w:sz w:val="28"/>
        </w:rPr>
        <w:t>【確認ポイント】</w:t>
      </w:r>
    </w:p>
    <w:p>
      <w:pPr>
        <w:pStyle w:val="BodyJP"/>
        <w:ind w:left="227" w:hanging="227"/>
      </w:pPr>
      <w:r>
        <w:rPr>
          <w:rFonts w:ascii="Noto Sans CJK JP" w:hAnsi="Noto Sans CJK JP" w:eastAsia="Noto Sans CJK JP"/>
          <w:b w:val="0"/>
          <w:sz w:val="21"/>
        </w:rPr>
        <w:t>・マイルストーン1の目的であった、要求の明確化・画面方針・データ方針・移行方針・決済方針が文書化されています。</w:t>
      </w:r>
    </w:p>
    <w:p>
      <w:pPr>
        <w:pStyle w:val="BodyJP"/>
        <w:ind w:left="227" w:hanging="227"/>
      </w:pPr>
      <w:r>
        <w:rPr>
          <w:rFonts w:ascii="Noto Sans CJK JP" w:hAnsi="Noto Sans CJK JP" w:eastAsia="Noto Sans CJK JP"/>
          <w:b w:val="0"/>
          <w:sz w:val="21"/>
        </w:rPr>
        <w:t>・本内容を基に、マイルストーン2では基盤実装に着手可能です。</w:t>
      </w:r>
    </w:p>
    <w:p>
      <w:pPr>
        <w:pStyle w:val="BodyJP"/>
        <w:ind w:left="227" w:hanging="227"/>
      </w:pPr>
      <w:r>
        <w:rPr>
          <w:rFonts w:ascii="Noto Sans CJK JP" w:hAnsi="Noto Sans CJK JP" w:eastAsia="Noto Sans CJK JP"/>
          <w:b w:val="0"/>
          <w:sz w:val="21"/>
        </w:rPr>
        <w:t>・軽微な文言調整や画面項目の追加確認が生じても、設計方針の大枠は維持したまま進行できます。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191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>
      <w:r/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b w:val="0"/>
        <w:color w:val="6B7280"/>
        <w:sz w:val="17"/>
      </w:rPr>
      <w:t>Retouch Members リニューアル｜マイルストーン1提出資料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JP">
    <w:name w:val="Body JP"/>
    <w:basedOn w:val="Normal"/>
    <w:pPr>
      <w:spacing w:after="120" w:line="324" w:lineRule="auto"/>
    </w:pPr>
    <w:rPr>
      <w:rFonts w:ascii="Noto Sans CJK JP" w:hAnsi="Noto Sans CJK JP" w:eastAsia="Noto Sans CJK JP"/>
      <w:sz w:val="21"/>
    </w:rPr>
  </w:style>
  <w:style w:type="paragraph" w:customStyle="1" w:styleId="TitleJP">
    <w:name w:val="Title JP"/>
    <w:basedOn w:val="Normal"/>
    <w:pPr>
      <w:spacing w:after="240"/>
    </w:pPr>
    <w:rPr>
      <w:rFonts w:ascii="Noto Sans CJK JP" w:hAnsi="Noto Sans CJK JP" w:eastAsia="Noto Sans CJK JP"/>
      <w:b/>
      <w:sz w:val="40"/>
    </w:rPr>
  </w:style>
  <w:style w:type="paragraph" w:customStyle="1" w:styleId="Heading1JP">
    <w:name w:val="Heading 1 JP"/>
    <w:basedOn w:val="Heading1"/>
    <w:pPr>
      <w:spacing w:before="160" w:after="120"/>
    </w:pPr>
    <w:rPr>
      <w:rFonts w:ascii="Noto Sans CJK JP" w:hAnsi="Noto Sans CJK JP" w:eastAsia="Noto Sans CJK JP"/>
      <w:b/>
      <w:color w:val="1D4E89"/>
      <w:sz w:val="28"/>
    </w:rPr>
  </w:style>
  <w:style w:type="paragraph" w:customStyle="1" w:styleId="Heading2JP">
    <w:name w:val="Heading 2 JP"/>
    <w:basedOn w:val="Heading2"/>
    <w:pPr>
      <w:spacing w:before="120" w:after="80"/>
    </w:pPr>
    <w:rPr>
      <w:rFonts w:ascii="Noto Sans CJK JP" w:hAnsi="Noto Sans CJK JP" w:eastAsia="Noto Sans CJK JP"/>
      <w:b/>
      <w:color w:val="34495E"/>
      <w:sz w:val="23"/>
    </w:rPr>
  </w:style>
  <w:style w:type="paragraph" w:customStyle="1" w:styleId="MonoBox">
    <w:name w:val="Mono Box"/>
    <w:basedOn w:val="Normal"/>
    <w:pPr>
      <w:spacing w:before="0" w:after="40" w:line="264" w:lineRule="auto"/>
    </w:pPr>
    <w:rPr>
      <w:rFonts w:ascii="DejaVu Sans Mono" w:hAnsi="DejaVu Sans Mono" w:eastAsia="MS Gothi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