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CCNLP CCA2 — Group 16, Panel B</w:t>
      </w:r>
    </w:p>
    <w:p>
      <w:pPr>
        <w:jc w:val="center"/>
      </w:pPr>
      <w:r>
        <w:t>Sahish Nagulwar (1032233310) | Ibrahim Ansari (1032233145) | Chayan Raj Bharati (1032233134)</w:t>
      </w:r>
    </w:p>
    <w:p>
      <w:pPr>
        <w:pStyle w:val="Title"/>
      </w:pPr>
      <w:r>
        <w:t>Plan B: New Domain Problem Statement — Making Indian Court Judgments Readable</w:t>
      </w:r>
    </w:p>
    <w:p>
      <w:pPr>
        <w:pStyle w:val="Heading1"/>
      </w:pPr>
      <w:r>
        <w:t>1. Domain and motivation</w:t>
      </w:r>
    </w:p>
    <w:p>
      <w:r>
        <w:rPr>
          <w:i w:val="0"/>
        </w:rPr>
        <w:t>Legal NLP, a new domain for this group. Indian court judgments are public documents, but they are long, written in dense English legalese, and out of reach for most of the people they affect. A litigant wants to know what was decided and why; a journalist wants the holding and the sections involved; a law student wants the issues. All three currently read dozens of pages or rely on second-hand accounts. India's courts publish judgments openly, so the barrier is not access to the text, it is access to the meaning. That framing connects to CCA1: there the gap was between a proverb's literal words and its intended meaning; here it is between a judgment's text and what it decides. The skills carry over; the domain, data and models are all new.</w:t>
      </w:r>
    </w:p>
    <w:p>
      <w:pPr>
        <w:pStyle w:val="Heading1"/>
      </w:pPr>
      <w:r>
        <w:t>2. What already exists</w:t>
      </w:r>
    </w:p>
    <w:p>
      <w:r>
        <w:rPr>
          <w:i w:val="0"/>
        </w:rPr>
        <w:t>Judgments of the Supreme Court and High Courts are published on court websites and aggregated by services such as Indian Kanoon. Research corpora have been released for this domain, including ILDC, a large collection of Supreme Court judgments prepared for legal NLP research, and legal-domain pretrained encoders such as InLegalBERT trained on Indian case law. Public summarization datasets pair judgments with headnotes written by legal editors, which gives supervised training data without annotation work by us. No standard public system covers the full pipeline we propose: section identification, plain-language summary, and an Indian-language rendering, evaluated together.</w:t>
      </w:r>
    </w:p>
    <w:p>
      <w:pPr>
        <w:pStyle w:val="Heading1"/>
      </w:pPr>
      <w:r>
        <w:t>3. Problem statement</w:t>
      </w:r>
    </w:p>
    <w:p>
      <w:r>
        <w:rPr>
          <w:i/>
        </w:rPr>
        <w:t>Develop an NLP system that, given a public Indian court judgment, (a) identifies the statutes and sections the judgment relies on, (b) produces a short plain-language summary of the facts, the issues, and the holding, and (c) renders that summary in an Indian language (Hindi or Marathi), and evaluate how well current summarization and multilingual models handle long, domain-heavy legal documents in this setting.</w:t>
      </w:r>
    </w:p>
    <w:p>
      <w:pPr>
        <w:pStyle w:val="Heading1"/>
      </w:pPr>
      <w:r>
        <w:t>4. Research questions (one per member)</w:t>
      </w:r>
    </w:p>
    <w:p>
      <w:pPr>
        <w:pStyle w:val="ListBullet"/>
      </w:pPr>
      <w:r>
        <w:t>RQ1 (Sahish Nagulwar): How accurately can the acts and sections a judgment turns on be identified by multi-label classification over the judgment text, and how much does a legal-domain pretrained encoder improve over a general one?</w:t>
      </w:r>
    </w:p>
    <w:p>
      <w:pPr>
        <w:pStyle w:val="ListBullet"/>
      </w:pPr>
      <w:r>
        <w:t>RQ2 (Ibrahim Ansari): How faithfully can long Indian judgments be summarized into a facts / issues / holding structure, and where do abstractive models hallucinate on legal text?</w:t>
      </w:r>
    </w:p>
    <w:p>
      <w:pPr>
        <w:pStyle w:val="ListBullet"/>
      </w:pPr>
      <w:r>
        <w:t>RQ3 (Chayan Raj Bharati): How much meaning survives when the English summary is simplified and rendered in Hindi or Marathi, measured by faithfulness checks rather than fluency alone?</w:t>
      </w:r>
    </w:p>
    <w:p>
      <w:pPr>
        <w:pStyle w:val="Heading1"/>
      </w:pPr>
      <w:r>
        <w:t>5. How it will be done</w:t>
      </w:r>
    </w:p>
    <w:p>
      <w:r>
        <w:rPr>
          <w:i w:val="0"/>
        </w:rPr>
        <w:t>The same working pattern that carried CCA1: one shared corpus step, three parallel individual tracks that hand files to each other, one common evaluation section. Five phases:</w:t>
      </w:r>
    </w:p>
    <w:p>
      <w:pPr>
        <w:pStyle w:val="Heading2"/>
      </w:pPr>
      <w:r>
        <w:t>Phase 1 — Shared corpus (all three, days 1-3)</w:t>
      </w:r>
    </w:p>
    <w:p>
      <w:r>
        <w:rPr>
          <w:i w:val="0"/>
        </w:rPr>
        <w:t>Download an initial working set of a few thousand Supreme Court judgments from public sources. Clean the text (headers, page furniture, citation normalization) with one shared script, split each judgment into metadata, body and citation list, and store everything as one CSV per thousand judgments. The citation list is extracted by pattern and becomes free ground truth for RQ1. Deliverable: judgments.csv plus a corpus statistics notebook, the equivalent of CCA1's extraction scripts and corpus workbooks.</w:t>
      </w:r>
    </w:p>
    <w:p>
      <w:pPr>
        <w:pStyle w:val="Heading2"/>
      </w:pPr>
      <w:r>
        <w:t>Phase 2 — Three tracks in parallel (days 4-14)</w:t>
      </w:r>
    </w:p>
    <w:p>
      <w:pPr>
        <w:pStyle w:val="ListBullet"/>
      </w:pPr>
      <w:r>
        <w:t>Track 1, sections (Sahish): baseline first, exactly as in CCA1 — TF-IDF plus logistic regression multi-label over the judgment body, scored against the extracted citations; then a fine-tuned legal-domain encoder for comparison. Produces sections.csv: judgment id, predicted acts and sections, confidence.</w:t>
      </w:r>
    </w:p>
    <w:p>
      <w:pPr>
        <w:pStyle w:val="ListBullet"/>
      </w:pPr>
      <w:r>
        <w:t>Track 2, summaries (Ibrahim): extract-then-abstract. Rank sentences for the facts / issues / holding slots, then generate the plain-language summary from the extracted sentences only, which contains hallucination by construction. Produces summaries.csv: judgment id, structured summary, source-sentence ids for every claim.</w:t>
      </w:r>
    </w:p>
    <w:p>
      <w:pPr>
        <w:pStyle w:val="ListBullet"/>
      </w:pPr>
      <w:r>
        <w:t>Track 3, rendering (Chayan): glossary-based simplification of the English summary followed by translation to Hindi or Marathi with a multilingual model, plus automatic back-translation for a faithfulness check. Produces rendered.csv: judgment id, Hindi/Marathi summary, back-translation score.</w:t>
      </w:r>
    </w:p>
    <w:p>
      <w:pPr>
        <w:pStyle w:val="Heading2"/>
      </w:pPr>
      <w:r>
        <w:t>Phase 3 — Integration (days 15-16)</w:t>
      </w:r>
    </w:p>
    <w:p>
      <w:r>
        <w:rPr>
          <w:i w:val="0"/>
        </w:rPr>
        <w:t>Chain the three outputs into one record per judgment: sections + structured summary + Indian-language rendering. Track 3 consumes Track 2's summaries; Track 2's summary header quotes Track 1's top sections. The integration is a join on judgment id, not new modeling, so it stays cheap.</w:t>
      </w:r>
    </w:p>
    <w:p>
      <w:pPr>
        <w:pStyle w:val="Heading2"/>
      </w:pPr>
      <w:r>
        <w:t>Phase 4 — Evaluation (days 17-19)</w:t>
      </w:r>
    </w:p>
    <w:p>
      <w:r>
        <w:rPr>
          <w:i w:val="0"/>
        </w:rPr>
        <w:t>Automatic metrics per track (Section 7) plus cross-member human checks: each member rates a sample from a track they did not build, the same protocol CCA1 used for its figures. Bootstrap confidence intervals over judgments.</w:t>
      </w:r>
    </w:p>
    <w:p>
      <w:pPr>
        <w:pStyle w:val="Heading2"/>
      </w:pPr>
      <w:r>
        <w:t>Phase 5 — Report (days 20-21)</w:t>
      </w:r>
    </w:p>
    <w:p>
      <w:r>
        <w:rPr>
          <w:i w:val="0"/>
        </w:rPr>
        <w:t>One consolidated report in the CCA1 format: per-member research question, contribution, methodology, results and discussion, one shared conclusion.</w:t>
      </w:r>
    </w:p>
    <w:p>
      <w:pPr>
        <w:pStyle w:val="Heading1"/>
      </w:pPr>
      <w:r>
        <w:t>6. Division of work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Member</w:t>
            </w:r>
          </w:p>
        </w:tc>
        <w:tc>
          <w:tcPr>
            <w:tcW w:type="dxa" w:w="2160"/>
          </w:tcPr>
          <w:p>
            <w:r>
              <w:rPr>
                <w:b/>
              </w:rPr>
              <w:t>Owns</w:t>
            </w:r>
          </w:p>
        </w:tc>
        <w:tc>
          <w:tcPr>
            <w:tcW w:type="dxa" w:w="2160"/>
          </w:tcPr>
          <w:p>
            <w:r>
              <w:rPr>
                <w:b/>
              </w:rPr>
              <w:t>Consumes</w:t>
            </w:r>
          </w:p>
        </w:tc>
        <w:tc>
          <w:tcPr>
            <w:tcW w:type="dxa" w:w="2160"/>
          </w:tcPr>
          <w:p>
            <w:r>
              <w:rPr>
                <w:b/>
              </w:rPr>
              <w:t>Produces</w:t>
            </w:r>
          </w:p>
        </w:tc>
      </w:tr>
      <w:tr>
        <w:tc>
          <w:tcPr>
            <w:tcW w:type="dxa" w:w="2160"/>
          </w:tcPr>
          <w:p>
            <w:r>
              <w:t>Sahish Nagulwar</w:t>
            </w:r>
          </w:p>
        </w:tc>
        <w:tc>
          <w:tcPr>
            <w:tcW w:type="dxa" w:w="2160"/>
          </w:tcPr>
          <w:p>
            <w:r>
              <w:t>Track 1: statute and section identification; corpus download script</w:t>
            </w:r>
          </w:p>
        </w:tc>
        <w:tc>
          <w:tcPr>
            <w:tcW w:type="dxa" w:w="2160"/>
          </w:tcPr>
          <w:p>
            <w:r>
              <w:t>judgments.csv</w:t>
            </w:r>
          </w:p>
        </w:tc>
        <w:tc>
          <w:tcPr>
            <w:tcW w:type="dxa" w:w="2160"/>
          </w:tcPr>
          <w:p>
            <w:r>
              <w:t>sections.csv; RQ1 results</w:t>
            </w:r>
          </w:p>
        </w:tc>
      </w:tr>
      <w:tr>
        <w:tc>
          <w:tcPr>
            <w:tcW w:type="dxa" w:w="2160"/>
          </w:tcPr>
          <w:p>
            <w:r>
              <w:t>Ibrahim Ansari</w:t>
            </w:r>
          </w:p>
        </w:tc>
        <w:tc>
          <w:tcPr>
            <w:tcW w:type="dxa" w:w="2160"/>
          </w:tcPr>
          <w:p>
            <w:r>
              <w:t>Track 2: judgment summarization; text-cleaning script</w:t>
            </w:r>
          </w:p>
        </w:tc>
        <w:tc>
          <w:tcPr>
            <w:tcW w:type="dxa" w:w="2160"/>
          </w:tcPr>
          <w:p>
            <w:r>
              <w:t>judgments.csv, sections.csv (for summary headers)</w:t>
            </w:r>
          </w:p>
        </w:tc>
        <w:tc>
          <w:tcPr>
            <w:tcW w:type="dxa" w:w="2160"/>
          </w:tcPr>
          <w:p>
            <w:r>
              <w:t>summaries.csv; RQ2 results</w:t>
            </w:r>
          </w:p>
        </w:tc>
      </w:tr>
      <w:tr>
        <w:tc>
          <w:tcPr>
            <w:tcW w:type="dxa" w:w="2160"/>
          </w:tcPr>
          <w:p>
            <w:r>
              <w:t>Chayan Raj Bharati</w:t>
            </w:r>
          </w:p>
        </w:tc>
        <w:tc>
          <w:tcPr>
            <w:tcW w:type="dxa" w:w="2160"/>
          </w:tcPr>
          <w:p>
            <w:r>
              <w:t>Track 3: simplification and Hindi/Marathi rendering; legalese glossary</w:t>
            </w:r>
          </w:p>
        </w:tc>
        <w:tc>
          <w:tcPr>
            <w:tcW w:type="dxa" w:w="2160"/>
          </w:tcPr>
          <w:p>
            <w:r>
              <w:t>summaries.csv</w:t>
            </w:r>
          </w:p>
        </w:tc>
        <w:tc>
          <w:tcPr>
            <w:tcW w:type="dxa" w:w="2160"/>
          </w:tcPr>
          <w:p>
            <w:r>
              <w:t>rendered.csv; RQ3 results</w:t>
            </w:r>
          </w:p>
        </w:tc>
      </w:tr>
      <w:tr>
        <w:tc>
          <w:tcPr>
            <w:tcW w:type="dxa" w:w="2160"/>
          </w:tcPr>
          <w:p>
            <w:r>
              <w:t>Shared</w:t>
            </w:r>
          </w:p>
        </w:tc>
        <w:tc>
          <w:tcPr>
            <w:tcW w:type="dxa" w:w="2160"/>
          </w:tcPr>
          <w:p>
            <w:r>
              <w:t>Phase 1 corpus, Phase 3 join, Phase 4 cross-member human evaluation, report assembly</w:t>
            </w:r>
          </w:p>
        </w:tc>
        <w:tc>
          <w:tcPr>
            <w:tcW w:type="dxa" w:w="2160"/>
          </w:tcPr>
          <w:p>
            <w:r>
              <w:t>everything above</w:t>
            </w:r>
          </w:p>
        </w:tc>
        <w:tc>
          <w:tcPr>
            <w:tcW w:type="dxa" w:w="2160"/>
          </w:tcPr>
          <w:p>
            <w:r>
              <w:t>final report and integrated output file</w:t>
            </w:r>
          </w:p>
        </w:tc>
      </w:tr>
    </w:tbl>
    <w:p>
      <w:r>
        <w:rPr>
          <w:i w:val="0"/>
        </w:rPr>
        <w:t>The dependency chain is deliberately short: Track 1 and Track 2 only need the shared corpus, so they start immediately and run in parallel; Track 3 needs Track 2's first batch of summaries, so Ibrahim hands over an early sample by day 7 rather than at the end of his track. No member is blocked on another for more than a few days, which is what made the CCA1 schedule survivable.</w:t>
      </w:r>
    </w:p>
    <w:p>
      <w:pPr>
        <w:pStyle w:val="Heading1"/>
      </w:pPr>
      <w:r>
        <w:t>7. Evaluation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Task</w:t>
            </w:r>
          </w:p>
        </w:tc>
        <w:tc>
          <w:tcPr>
            <w:tcW w:type="dxa" w:w="2880"/>
          </w:tcPr>
          <w:p>
            <w:r>
              <w:rPr>
                <w:b/>
              </w:rPr>
              <w:t>Automatic metric</w:t>
            </w:r>
          </w:p>
        </w:tc>
        <w:tc>
          <w:tcPr>
            <w:tcW w:type="dxa" w:w="2880"/>
          </w:tcPr>
          <w:p>
            <w:r>
              <w:rPr>
                <w:b/>
              </w:rPr>
              <w:t>Human check</w:t>
            </w:r>
          </w:p>
        </w:tc>
      </w:tr>
      <w:tr>
        <w:tc>
          <w:tcPr>
            <w:tcW w:type="dxa" w:w="2880"/>
          </w:tcPr>
          <w:p>
            <w:r>
              <w:t>Section identification</w:t>
            </w:r>
          </w:p>
        </w:tc>
        <w:tc>
          <w:tcPr>
            <w:tcW w:type="dxa" w:w="2880"/>
          </w:tcPr>
          <w:p>
            <w:r>
              <w:t>micro/macro F1 vs cited sections</w:t>
            </w:r>
          </w:p>
        </w:tc>
        <w:tc>
          <w:tcPr>
            <w:tcW w:type="dxa" w:w="2880"/>
          </w:tcPr>
          <w:p>
            <w:r>
              <w:t>error analysis on 50 judgments (by Ibrahim)</w:t>
            </w:r>
          </w:p>
        </w:tc>
      </w:tr>
      <w:tr>
        <w:tc>
          <w:tcPr>
            <w:tcW w:type="dxa" w:w="2880"/>
          </w:tcPr>
          <w:p>
            <w:r>
              <w:t>Summarization</w:t>
            </w:r>
          </w:p>
        </w:tc>
        <w:tc>
          <w:tcPr>
            <w:tcW w:type="dxa" w:w="2880"/>
          </w:tcPr>
          <w:p>
            <w:r>
              <w:t>ROUGE vs headnotes</w:t>
            </w:r>
          </w:p>
        </w:tc>
        <w:tc>
          <w:tcPr>
            <w:tcW w:type="dxa" w:w="2880"/>
          </w:tcPr>
          <w:p>
            <w:r>
              <w:t>claim-level faithfulness / hallucination rate (by Chayan)</w:t>
            </w:r>
          </w:p>
        </w:tc>
      </w:tr>
      <w:tr>
        <w:tc>
          <w:tcPr>
            <w:tcW w:type="dxa" w:w="2880"/>
          </w:tcPr>
          <w:p>
            <w:r>
              <w:t>Cross-lingual rendering</w:t>
            </w:r>
          </w:p>
        </w:tc>
        <w:tc>
          <w:tcPr>
            <w:tcW w:type="dxa" w:w="2880"/>
          </w:tcPr>
          <w:p>
            <w:r>
              <w:t>back-translation similarity</w:t>
            </w:r>
          </w:p>
        </w:tc>
        <w:tc>
          <w:tcPr>
            <w:tcW w:type="dxa" w:w="2880"/>
          </w:tcPr>
          <w:p>
            <w:r>
              <w:t>adequacy and fluency ratings (by Sahish)</w:t>
            </w:r>
          </w:p>
        </w:tc>
      </w:tr>
    </w:tbl>
    <w:p>
      <w:pPr>
        <w:pStyle w:val="Heading1"/>
      </w:pPr>
      <w:r>
        <w:t>8. Risks, ethics and scope control</w:t>
      </w:r>
    </w:p>
    <w:p>
      <w:pPr>
        <w:pStyle w:val="ListBullet"/>
      </w:pPr>
      <w:r>
        <w:t>No outcome prediction. The system explains what a court decided; it does not predict what a court will decide.</w:t>
      </w:r>
    </w:p>
    <w:p>
      <w:pPr>
        <w:pStyle w:val="ListBullet"/>
      </w:pPr>
      <w:r>
        <w:t>Generated summaries are assistive drafts, labelled as such; they are not legal advice.</w:t>
      </w:r>
    </w:p>
    <w:p>
      <w:pPr>
        <w:pStyle w:val="ListBullet"/>
      </w:pPr>
      <w:r>
        <w:t>Judgments name real people. The working corpus stays as published by the courts, but released examples use anonymized excerpts.</w:t>
      </w:r>
    </w:p>
    <w:p>
      <w:pPr>
        <w:pStyle w:val="ListBullet"/>
      </w:pPr>
      <w:r>
        <w:t>Hallucination is the main technical risk; the extract-then-abstract design and the claim-traceability metric exist to contain and measure it.</w:t>
      </w:r>
    </w:p>
    <w:p>
      <w:pPr>
        <w:pStyle w:val="Heading1"/>
      </w:pPr>
      <w:r>
        <w:t>9. Feasibility</w:t>
      </w:r>
    </w:p>
    <w:p>
      <w:r>
        <w:rPr>
          <w:i w:val="0"/>
        </w:rPr>
        <w:t>The data is public, digital and English, so the OCR and script problems that dominated CCA1 do not arise. The free ground truth for RQ1 removes the annotation bottleneck. Baselines are the same TF-IDF recipe the team has already built once, and the fine-tuning fits in a Colab GPU session. A few thousand judgments and three mid-sized models are within the compute CCA1 used.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