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908"/>
        <w:pBdr/>
        <w:spacing/>
        <w:ind/>
        <w:rPr/>
      </w:pPr>
      <w:r/>
      <w:bookmarkStart w:id="40" w:name="X7c01a039f54952715b233822af53eea3ac509a7"/>
      <w:r>
        <w:t xml:space="preserve">Влияние порядка слов на определенность в русском языке: экспериментальное исследование</w:t>
      </w:r>
      <w:r/>
    </w:p>
    <w:p>
      <w:pPr>
        <w:pStyle w:val="909"/>
        <w:pBdr/>
        <w:spacing/>
        <w:ind/>
        <w:rPr/>
      </w:pPr>
      <w:r/>
      <w:bookmarkStart w:id="20" w:name="введение"/>
      <w:r>
        <w:t xml:space="preserve">Введение</w:t>
      </w:r>
      <w:r/>
    </w:p>
    <w:p>
      <w:pPr>
        <w:pBdr/>
        <w:spacing/>
        <w:ind/>
        <w:rPr/>
      </w:pPr>
      <w:r>
        <w:t xml:space="preserve">Известно, что порядок слов в русском языке, как и во многих других, определяется информационной структурой</w:t>
      </w:r>
      <w:r>
        <w:t xml:space="preserve"> [</w:t>
      </w:r>
      <w:r>
        <w:fldChar w:fldCharType="begin"/>
        <w:instrText xml:space="preserve"> REF _Ref2 \r  \h</w:instrText>
        <w:fldChar w:fldCharType="separate"/>
      </w:r>
      <w:r>
        <w:t xml:space="preserve">8</w:t>
      </w:r>
      <w:r>
        <w:fldChar w:fldCharType="end"/>
      </w:r>
      <w:r>
        <w:t xml:space="preserve">]</w:t>
      </w:r>
      <w:r>
        <w:t xml:space="preserve">: топикальные составляющие тяготеют к более левой позиции в клаузе. В то же время многими исследователями отмечалось, что помимо этого порядок слов в языках без артиклей, в том числе в русском, влияет на интерпретацию ИГ как определенных или неопределенных</w:t>
      </w:r>
      <w:r>
        <w:t xml:space="preserve"> [</w:t>
      </w:r>
      <w:r>
        <w:fldChar w:fldCharType="begin"/>
        <w:instrText xml:space="preserve"> REF _Ref3 \r  \h</w:instrText>
        <w:fldChar w:fldCharType="separate"/>
      </w:r>
      <w:r>
        <w:t xml:space="preserve">1</w:t>
      </w:r>
      <w:r>
        <w:fldChar w:fldCharType="end"/>
        <w:t xml:space="preserve">, </w:t>
      </w:r>
      <w:r>
        <w:fldChar w:fldCharType="begin"/>
        <w:instrText xml:space="preserve"> REF _Ref4 \r  \h</w:instrText>
        <w:fldChar w:fldCharType="separate"/>
      </w:r>
      <w:r>
        <w:t xml:space="preserve">2 </w:t>
      </w:r>
      <w:r>
        <w:fldChar w:fldCharType="end"/>
        <w:t xml:space="preserve">и пр.</w:t>
      </w:r>
      <w:r>
        <w:t xml:space="preserve">]</w:t>
      </w:r>
      <w:r>
        <w:t xml:space="preserve">.</w:t>
      </w:r>
      <w:r/>
    </w:p>
    <w:p>
      <w:pPr>
        <w:pBdr/>
        <w:spacing/>
        <w:ind/>
        <w:rPr>
          <w:highlight w:val="none"/>
        </w:rPr>
      </w:pPr>
      <w:r>
        <w:t xml:space="preserve">В частности,</w:t>
      </w:r>
      <w:r>
        <w:t xml:space="preserve"> [</w:t>
      </w:r>
      <w:r>
        <w:fldChar w:fldCharType="begin"/>
        <w:instrText xml:space="preserve"> REF _Ref4 \r  \h</w:instrText>
        <w:fldChar w:fldCharType="separate"/>
      </w:r>
      <w:r>
        <w:t xml:space="preserve">2</w:t>
      </w:r>
      <w:r>
        <w:fldChar w:fldCharType="end"/>
      </w:r>
      <w:r>
        <w:t xml:space="preserve">]</w:t>
      </w:r>
      <w:r>
        <w:t xml:space="preserve"> </w:t>
      </w:r>
      <w:r>
        <w:t xml:space="preserve">показывает, что голые именные группы в препозиции глагола, в отличие от таковых в постпозиции, не могут быть неопределенными (соответствовать английским ИГ с</w:t>
      </w:r>
      <w:r>
        <w:t xml:space="preserve"> </w:t>
      </w:r>
      <w:r>
        <w:rPr>
          <w:i/>
          <w:iCs/>
        </w:rPr>
        <w:t xml:space="preserve">a</w:t>
      </w:r>
      <w:r>
        <w:t xml:space="preserve">) (</w:t>
      </w:r>
      <w:r>
        <w:fldChar w:fldCharType="begin"/>
        <w:instrText xml:space="preserve"> REF _Ref10 \r  \h</w:instrText>
        <w:fldChar w:fldCharType="separate"/>
      </w:r>
      <w:r>
        <w:t xml:space="preserve">Пример 1</w:t>
      </w:r>
      <w:r>
        <w:fldChar w:fldCharType="end"/>
      </w:r>
      <w:r>
        <w:t xml:space="preserve">).</w:t>
      </w:r>
      <w:r>
        <w:rPr>
          <w:highlight w:val="none"/>
        </w:rPr>
      </w:r>
    </w:p>
    <w:p>
      <w:pPr>
        <w:pStyle w:val="935"/>
        <w:pBdr/>
        <w:spacing/>
        <w:ind/>
        <w:rPr/>
      </w:pPr>
      <w:r/>
      <w:bookmarkStart w:id="50" w:name="_Ref10"/>
      <w:r>
        <w:rPr>
          <w:highlight w:val="none"/>
        </w:rPr>
      </w:r>
      <w:bookmarkEnd w:id="50"/>
      <w:r>
        <w:rPr>
          <w:highlight w:val="none"/>
        </w:rPr>
      </w:r>
      <w:r/>
    </w:p>
    <w:p>
      <w:pPr>
        <w:pStyle w:val="936"/>
        <w:pBdr/>
        <w:spacing/>
        <w:ind/>
        <w:rPr/>
      </w:pPr>
      <w:r>
        <w:t xml:space="preserve">На том столе лежит книга.</w:t>
      </w:r>
      <w:r>
        <w:t xml:space="preserve"> </w:t>
      </w:r>
      <w:r>
        <w:t xml:space="preserve"> </w:t>
        <w:tab/>
        <w:tab/>
        <w:tab/>
        <w:tab/>
      </w:r>
      <w:r>
        <w:rPr>
          <w:i w:val="0"/>
          <w:iCs w:val="0"/>
        </w:rPr>
        <w:t xml:space="preserve">(‘the book’ / ‘a’ book’)</w:t>
      </w:r>
      <w:r/>
    </w:p>
    <w:p>
      <w:pPr>
        <w:pStyle w:val="936"/>
        <w:pBdr/>
        <w:spacing/>
        <w:ind/>
        <w:rPr>
          <w:bCs w:val="0"/>
          <w:i w:val="0"/>
        </w:rPr>
      </w:pPr>
      <w:r>
        <w:t xml:space="preserve">Книга лежит на том столе.</w:t>
        <w:tab/>
        <w:tab/>
        <w:tab/>
        <w:tab/>
      </w:r>
      <w:r>
        <w:rPr>
          <w:i w:val="0"/>
          <w:iCs w:val="0"/>
        </w:rPr>
        <w:t xml:space="preserve">(только ‘the book’)</w:t>
      </w:r>
      <w:r>
        <w:rPr>
          <w:bCs w:val="0"/>
          <w:i w:val="0"/>
        </w:rPr>
      </w:r>
      <w:r>
        <w:rPr>
          <w:bCs w:val="0"/>
          <w:i w:val="0"/>
        </w:rPr>
      </w:r>
    </w:p>
    <w:p>
      <w:pPr>
        <w:pBdr/>
        <w:spacing/>
        <w:ind/>
        <w:rPr>
          <w:highlight w:val="none"/>
        </w:rPr>
      </w:pPr>
      <w:r>
        <w:t xml:space="preserve">В то же время, согласно Гейст, это ограничение исчезает, когда ИГ в препозиции несет фразовый акцент (</w:t>
      </w:r>
      <w:r>
        <w:fldChar w:fldCharType="begin"/>
        <w:instrText xml:space="preserve"> REF _Ref1  \h</w:instrText>
        <w:fldChar w:fldCharType="separate"/>
      </w:r>
      <w:r>
        <w:fldChar w:fldCharType="end"/>
      </w:r>
      <w:r>
        <w:fldChar w:fldCharType="begin"/>
        <w:instrText xml:space="preserve"> REF _Ref1 \r  \h</w:instrText>
        <w:fldChar w:fldCharType="separate"/>
      </w:r>
      <w:r>
        <w:t xml:space="preserve">Пример 2</w:t>
      </w:r>
      <w:r>
        <w:fldChar w:fldCharType="end"/>
      </w:r>
      <w:r>
        <w:t xml:space="preserve">).</w:t>
      </w:r>
      <w:r>
        <w:rPr>
          <w:highlight w:val="none"/>
        </w:rPr>
      </w:r>
    </w:p>
    <w:p>
      <w:pPr>
        <w:pStyle w:val="935"/>
        <w:pBdr/>
        <w:spacing/>
        <w:ind/>
        <w:rPr/>
      </w:pPr>
      <w:r/>
      <w:bookmarkStart w:id="41" w:name="_Ref1"/>
      <w:r>
        <w:rPr>
          <w:highlight w:val="none"/>
        </w:rPr>
      </w:r>
      <w:bookmarkEnd w:id="41"/>
      <w:r>
        <w:rPr>
          <w:highlight w:val="none"/>
        </w:rPr>
      </w:r>
      <w:r/>
    </w:p>
    <w:p>
      <w:pPr>
        <w:pStyle w:val="924"/>
        <w:pBdr/>
        <w:spacing/>
        <w:ind/>
        <w:rPr>
          <w:bCs w:val="0"/>
          <w:i w:val="0"/>
          <w:smallCaps/>
        </w:rPr>
      </w:pPr>
      <w:r>
        <w:rPr>
          <w:i/>
          <w:iCs/>
        </w:rPr>
        <w:t xml:space="preserve">М</w:t>
      </w:r>
      <w:r>
        <w:rPr>
          <w:i/>
          <w:iCs/>
        </w:rPr>
        <w:t xml:space="preserve">етеорит</w:t>
      </w:r>
      <w:r>
        <w:rPr>
          <w:i/>
          <w:iCs/>
        </w:rPr>
        <w:t xml:space="preserve"> </w:t>
      </w:r>
      <w:r>
        <w:rPr>
          <w:i/>
          <w:iCs/>
          <w:smallCaps/>
        </w:rPr>
        <w:t xml:space="preserve">упал</w:t>
      </w:r>
      <w:r>
        <w:rPr>
          <w:i/>
          <w:iCs/>
          <w:vertAlign w:val="subscript"/>
        </w:rPr>
        <w:t xml:space="preserve">F</w:t>
      </w:r>
      <w:r>
        <w:rPr>
          <w:i/>
          <w:iCs/>
        </w:rPr>
        <w:t xml:space="preserve">.</w:t>
        <w:tab/>
        <w:tab/>
        <w:tab/>
        <w:tab/>
        <w:tab/>
      </w:r>
      <w:r>
        <w:rPr>
          <w:i w:val="0"/>
          <w:iCs w:val="0"/>
        </w:rPr>
        <w:t xml:space="preserve">(только ‘the meteorite’)</w:t>
      </w:r>
      <w:r>
        <w:rPr>
          <w:i w:val="0"/>
          <w:iCs w:val="0"/>
          <w:smallCaps/>
        </w:rPr>
      </w:r>
      <w:r>
        <w:rPr>
          <w:bCs w:val="0"/>
          <w:i w:val="0"/>
          <w:smallCaps/>
        </w:rPr>
      </w:r>
    </w:p>
    <w:p>
      <w:pPr>
        <w:pStyle w:val="924"/>
        <w:pBdr/>
        <w:spacing/>
        <w:ind/>
        <w:rPr>
          <w:bCs w:val="0"/>
          <w:i w:val="0"/>
          <w:highlight w:val="none"/>
        </w:rPr>
      </w:pPr>
      <w:r>
        <w:rPr>
          <w:i/>
          <w:iCs/>
          <w:smallCaps/>
        </w:rPr>
        <w:t xml:space="preserve">Метеорит</w:t>
      </w:r>
      <w:r>
        <w:rPr>
          <w:i/>
          <w:iCs/>
          <w:vertAlign w:val="subscript"/>
        </w:rPr>
        <w:t xml:space="preserve">F</w:t>
      </w:r>
      <w:r>
        <w:rPr>
          <w:i/>
          <w:iCs/>
        </w:rPr>
        <w:t xml:space="preserve"> </w:t>
      </w:r>
      <w:r>
        <w:rPr>
          <w:i/>
          <w:iCs/>
        </w:rPr>
        <w:t xml:space="preserve">упал.</w:t>
        <w:tab/>
        <w:tab/>
        <w:tab/>
        <w:tab/>
        <w:tab/>
        <w:tab/>
      </w:r>
      <w:r>
        <w:rPr>
          <w:i w:val="0"/>
          <w:iCs w:val="0"/>
        </w:rPr>
        <w:t xml:space="preserve">(‘the meteorite’ / ‘a meteorite’)</w:t>
      </w:r>
      <w:r>
        <w:rPr>
          <w:i w:val="0"/>
          <w:iCs w:val="0"/>
        </w:rPr>
      </w:r>
      <w:r>
        <w:rPr>
          <w:bCs w:val="0"/>
          <w:i w:val="0"/>
          <w:highlight w:val="none"/>
        </w:rPr>
      </w:r>
    </w:p>
    <w:p>
      <w:pPr>
        <w:pBdr/>
        <w:spacing/>
        <w:ind/>
        <w:rPr>
          <w:highlight w:val="none"/>
        </w:rPr>
      </w:pPr>
      <w:r>
        <w:t xml:space="preserve">В то же время обобщение «ИГ может быть неопределенной, только если она фокусно маркирована» неверно: неопределенные ИГ также могут быть контекстно салиентными и, соответственно, не нести фразового акцента (</w:t>
      </w:r>
      <w:r>
        <w:fldChar w:fldCharType="begin"/>
        <w:instrText xml:space="preserve"> REF _Ref11 \r  \h</w:instrText>
        <w:fldChar w:fldCharType="separate"/>
      </w:r>
      <w:r>
        <w:t xml:space="preserve">Пример 3</w:t>
      </w:r>
      <w:r>
        <w:fldChar w:fldCharType="end"/>
      </w:r>
      <w:r>
        <w:t xml:space="preserve">).</w:t>
      </w:r>
      <w:r>
        <w:rPr>
          <w:highlight w:val="none"/>
        </w:rPr>
      </w:r>
    </w:p>
    <w:p>
      <w:pPr>
        <w:pStyle w:val="935"/>
        <w:pBdr/>
        <w:spacing/>
        <w:ind/>
        <w:rPr/>
      </w:pPr>
      <w:r/>
      <w:bookmarkStart w:id="51" w:name="_Ref11"/>
      <w:r>
        <w:rPr>
          <w:highlight w:val="none"/>
        </w:rPr>
      </w:r>
      <w:bookmarkEnd w:id="51"/>
      <w:r>
        <w:rPr>
          <w:highlight w:val="none"/>
        </w:rPr>
      </w:r>
      <w:r/>
    </w:p>
    <w:p>
      <w:pPr>
        <w:pStyle w:val="936"/>
        <w:pBdr/>
        <w:spacing/>
        <w:ind/>
        <w:rPr>
          <w:bCs/>
          <w:i/>
        </w:rPr>
      </w:pPr>
      <w:r>
        <w:rPr>
          <w:i/>
          <w:iCs/>
        </w:rPr>
        <w:t xml:space="preserve">— </w:t>
      </w:r>
      <w:r>
        <w:rPr>
          <w:i/>
          <w:iCs/>
        </w:rPr>
        <w:t xml:space="preserve">У кого есть карандаш?</w:t>
      </w:r>
      <w:r>
        <w:rPr>
          <w:i/>
          <w:iCs/>
        </w:rPr>
      </w:r>
      <w:r>
        <w:rPr>
          <w:bCs/>
          <w:i/>
        </w:rPr>
      </w:r>
    </w:p>
    <w:p>
      <w:pPr>
        <w:pStyle w:val="936"/>
        <w:pBdr/>
        <w:spacing/>
        <w:ind/>
        <w:rPr>
          <w:bCs/>
          <w:i/>
        </w:rPr>
      </w:pPr>
      <w:r>
        <w:rPr>
          <w:i/>
          <w:iCs/>
        </w:rPr>
        <w:t xml:space="preserve">— </w:t>
      </w:r>
      <w:r>
        <w:rPr>
          <w:i/>
          <w:iCs/>
          <w:smallCaps/>
        </w:rPr>
        <w:t xml:space="preserve">У Нины</w:t>
      </w:r>
      <w:r>
        <w:rPr>
          <w:i/>
          <w:iCs/>
          <w:vertAlign w:val="subscript"/>
        </w:rPr>
        <w:t xml:space="preserve">F</w:t>
      </w:r>
      <w:r>
        <w:rPr>
          <w:i/>
          <w:iCs/>
        </w:rPr>
        <w:t xml:space="preserve"> </w:t>
      </w:r>
      <w:r>
        <w:rPr>
          <w:i/>
          <w:iCs/>
        </w:rPr>
        <w:t xml:space="preserve">есть карандаш.</w:t>
      </w:r>
      <w:r>
        <w:rPr>
          <w:i/>
          <w:iCs/>
        </w:rPr>
      </w:r>
      <w:r>
        <w:rPr>
          <w:bCs/>
          <w:i/>
        </w:rPr>
      </w:r>
    </w:p>
    <w:p>
      <w:pPr>
        <w:pBdr/>
        <w:spacing/>
        <w:ind/>
        <w:rPr/>
      </w:pPr>
      <w:r>
        <w:t xml:space="preserve">Гейст заключает, что голые именные группы могут быть не</w:t>
      </w:r>
      <w:r>
        <w:t xml:space="preserve">определенными, только когда не являются топикальными. В то же время остается открытым вопрос, что определяет порядок слов в тетических предложениях, таких как (</w:t>
      </w:r>
      <w:r>
        <w:fldChar w:fldCharType="begin"/>
        <w:instrText xml:space="preserve"> REF _Ref1 \r  \h</w:instrText>
        <w:fldChar w:fldCharType="separate"/>
      </w:r>
      <w:r>
        <w:t xml:space="preserve">Пример 2</w:t>
      </w:r>
      <w:r>
        <w:fldChar w:fldCharType="end"/>
      </w:r>
      <w:r>
        <w:t xml:space="preserve">). Так или иначе, теоретический анализ пресуппозиций, вызываемых порядком слов, невозможен без п</w:t>
      </w:r>
      <w:r>
        <w:t xml:space="preserve">олучения точных данных о том, в каких ситуациях и какие именно пресуппозиции возникают. Из-за высокой вариативности и связи с информационной структурой для этих целей необходимы экспериментальные данные, полученные при контролировании различных переменных.</w:t>
      </w:r>
      <w:bookmarkEnd w:id="20"/>
      <w:r/>
      <w:r/>
    </w:p>
    <w:p>
      <w:pPr>
        <w:pStyle w:val="909"/>
        <w:pBdr/>
        <w:spacing/>
        <w:ind/>
        <w:rPr/>
      </w:pPr>
      <w:r/>
      <w:bookmarkStart w:id="21" w:name="предыдущие-исследования"/>
      <w:r>
        <w:t xml:space="preserve">Предыдущие исследования</w:t>
      </w:r>
      <w:r/>
    </w:p>
    <w:p>
      <w:pPr>
        <w:pBdr/>
        <w:spacing/>
        <w:ind/>
        <w:rPr/>
      </w:pPr>
      <w:r>
        <w:t xml:space="preserve">По аналогии с определенными артиклями предполагается, что интерпретируемые определенно  ИГ в славянских несут пресуппозиции существования и уникальности (максимальности). Два эксперимента, поставленных Шимиком и Демианом</w:t>
      </w:r>
      <w:r>
        <w:t xml:space="preserve"> [</w:t>
      </w:r>
      <w:r>
        <w:fldChar w:fldCharType="begin"/>
        <w:instrText xml:space="preserve"> REF _Ref5 \r  \h</w:instrText>
        <w:fldChar w:fldCharType="separate"/>
      </w:r>
      <w:r>
        <w:t xml:space="preserve">6</w:t>
      </w:r>
      <w:r>
        <w:fldChar w:fldCharType="end"/>
        <w:t xml:space="preserve">, </w:t>
      </w:r>
      <w:r>
        <w:fldChar w:fldCharType="begin"/>
        <w:instrText xml:space="preserve"> REF _Ref6 \r  \h</w:instrText>
        <w:fldChar w:fldCharType="separate"/>
      </w:r>
      <w:r>
        <w:t xml:space="preserve">7</w:t>
      </w:r>
      <w:r>
        <w:fldChar w:fldCharType="end"/>
      </w:r>
      <w:r>
        <w:t xml:space="preserve">]</w:t>
      </w:r>
      <w:r>
        <w:t xml:space="preserve">, ставили целью подтвердить интуиции исследова</w:t>
      </w:r>
      <w:r>
        <w:t xml:space="preserve">телей, постулирующих пресуппозицию уникальности (максимальности) именных групп в препозиции. Объектом обоих экспериментов были предложения с неаккузативным глаголом и без адъюнктов. Оба эксперимента были для сравнения поставлены на одном из славянских языков и немецком.</w:t>
      </w:r>
      <w:r/>
    </w:p>
    <w:p>
      <w:pPr>
        <w:pBdr/>
        <w:spacing/>
        <w:ind/>
        <w:rPr/>
      </w:pPr>
      <w:r>
        <w:t xml:space="preserve">Первый эксперимент (n</w:t>
      </w:r>
      <w:r>
        <w:rPr>
          <w:vertAlign w:val="subscript"/>
        </w:rPr>
        <w:t xml:space="preserve">рус</w:t>
      </w:r>
      <w:r>
        <w:t xml:space="preserve"> </w:t>
      </w:r>
      <w:r>
        <w:t xml:space="preserve">= n</w:t>
      </w:r>
      <w:r>
        <w:rPr>
          <w:vertAlign w:val="subscript"/>
        </w:rPr>
        <w:t xml:space="preserve">нем</w:t>
      </w:r>
      <w:r>
        <w:t xml:space="preserve"> </w:t>
      </w:r>
      <w:r>
        <w:t xml:space="preserve">= 48)</w:t>
      </w:r>
      <w:r>
        <w:t xml:space="preserve"> </w:t>
      </w:r>
      <w:r>
        <w:t xml:space="preserve">[</w:t>
      </w:r>
      <w:r>
        <w:fldChar w:fldCharType="begin"/>
        <w:instrText xml:space="preserve"> REF _Ref5 \r  \h</w:instrText>
        <w:fldChar w:fldCharType="separate"/>
      </w:r>
      <w:r>
        <w:t xml:space="preserve">6</w:t>
      </w:r>
      <w:r>
        <w:fldChar w:fldCharType="end"/>
      </w:r>
      <w:r>
        <w:t xml:space="preserve">]</w:t>
      </w:r>
      <w:r>
        <w:t xml:space="preserve"> </w:t>
      </w:r>
      <w:r>
        <w:t xml:space="preserve">исследовал наличие пресуппозиции уникальности (для ИГ в единственном числе) и максимальности (для ИГ во множественном числе) при восприятии предложений на русском и на немецком. Эксперимент использовал дизайн со скрытыми карточками:</w:t>
      </w:r>
      <w:r/>
    </w:p>
    <w:p>
      <w:pPr>
        <w:pStyle w:val="925"/>
        <w:pBdr/>
        <w:spacing/>
        <w:ind/>
        <w:rPr/>
      </w:pPr>
      <w:r>
        <w:t xml:space="preserve">Участник видит две «перевернутые» карточки — серые прямоугольники — и прослушивает стимул, состоящий из преамбулы и целевого предложения.</w:t>
      </w:r>
      <w:r/>
    </w:p>
    <w:p>
      <w:pPr>
        <w:pStyle w:val="925"/>
        <w:pBdr/>
        <w:spacing/>
        <w:ind/>
        <w:rPr/>
      </w:pPr>
      <w:r>
        <w:t xml:space="preserve">Одна из двух карточек «переворачивается» — вместо нее появляется изображение. Участник должен выбрать одну из двух карточек, которая, как ему кажется, лучше (потенциально) описывает ситуацию — открытую или закрытую.</w:t>
      </w:r>
      <w:r/>
    </w:p>
    <w:p>
      <w:pPr>
        <w:pStyle w:val="925"/>
        <w:pBdr/>
        <w:spacing/>
        <w:ind/>
        <w:rPr/>
      </w:pPr>
      <w:r>
        <w:t xml:space="preserve">По совершении выбора происходит переход к следующему стимулу. Закрытая карточка не раскрывается.</w:t>
      </w:r>
      <w:r/>
    </w:p>
    <w:p>
      <w:pPr>
        <w:pBdr/>
        <w:spacing/>
        <w:ind/>
        <w:rPr/>
      </w:pPr>
      <w:r>
        <w:t xml:space="preserve">Русские стимулы варьировались по порядку глагола и субъекта и по положению фокусного акцента — на глаголе</w:t>
      </w:r>
      <w:r>
        <w:t xml:space="preserve"> или на субъекте, а также по числу. </w:t>
      </w:r>
      <w:r>
        <w:t xml:space="preserve">Немецкие стимулы различались числом и наличием определенного артикля и по числу.</w:t>
      </w:r>
      <w:r/>
    </w:p>
    <w:p>
      <w:pPr>
        <w:pBdr/>
        <w:spacing/>
        <w:ind/>
        <w:rPr/>
      </w:pPr>
      <w:r>
        <w:t xml:space="preserve">Из</w:t>
      </w:r>
      <w:r>
        <w:t xml:space="preserve">ображение содержало упомянутый в стимуле объект в состоянии постсобытия предиката (например, вагон, отцепившийся от поезда) в количестве, соответствующем стимулу. Независимой переменной было наличие еще и объектов, не находящихся в постсобытии предиката (пр</w:t>
      </w:r>
      <w:r>
        <w:t xml:space="preserve">ицепленных к поезду вагонов), то есть нарушающие пресуппозицию уникальности или максимальности. Согласно гипотезе, выбор закрытой карточки вместо изображений, на которых пресуппозиция нарушается, должен был более частотен, чем вместо тех, на котором не нарушается.</w:t>
      </w:r>
      <w:r/>
    </w:p>
    <w:p>
      <w:pPr>
        <w:pBdr/>
        <w:spacing/>
        <w:ind/>
        <w:rPr/>
      </w:pPr>
      <w:r>
        <w:t xml:space="preserve">Эксперимент подтвердил эффект пресуппозиции в немецком. Для русских предложений, однако, корреляция не была найдена — выбор закрытой карточки происходил в равной степени вне зависимости от порядка слов и просодичес</w:t>
      </w:r>
      <w:r>
        <w:t xml:space="preserve">кого маркирования; при этом в случае нарушения пресуппозиции закрытая карточка выбиралась чаще, как если бы все ИГ вне зависимости от положения и просодии — по крайней мере у некоторых носителей с некоторыми стимулами — интерпретировались как определенные.</w:t>
      </w:r>
      <w:r/>
    </w:p>
    <w:p>
      <w:pPr>
        <w:pBdr/>
        <w:spacing/>
        <w:ind/>
        <w:rPr/>
      </w:pPr>
      <w:r>
        <w:t xml:space="preserve">Статья</w:t>
      </w:r>
      <w:r>
        <w:t xml:space="preserve"> [</w:t>
      </w:r>
      <w:r>
        <w:fldChar w:fldCharType="begin"/>
        <w:instrText xml:space="preserve"> REF _Ref6 \r  \h</w:instrText>
        <w:fldChar w:fldCharType="separate"/>
      </w:r>
      <w:r>
        <w:t xml:space="preserve">7</w:t>
      </w:r>
      <w:r>
        <w:fldChar w:fldCharType="end"/>
      </w:r>
      <w:r>
        <w:t xml:space="preserve">]</w:t>
      </w:r>
      <w:r>
        <w:t xml:space="preserve"> </w:t>
      </w:r>
      <w:r>
        <w:t xml:space="preserve">описывает результаты эксперимента на порождение в польском и немецком (n</w:t>
      </w:r>
      <w:r>
        <w:rPr>
          <w:vertAlign w:val="subscript"/>
        </w:rPr>
        <w:t xml:space="preserve">пол</w:t>
      </w:r>
      <w:r>
        <w:t xml:space="preserve"> </w:t>
      </w:r>
      <w:r>
        <w:t xml:space="preserve">= 29, n</w:t>
      </w:r>
      <w:r>
        <w:rPr>
          <w:vertAlign w:val="subscript"/>
        </w:rPr>
        <w:t xml:space="preserve">нем</w:t>
      </w:r>
      <w:r>
        <w:t xml:space="preserve"> </w:t>
      </w:r>
      <w:r>
        <w:t xml:space="preserve">= 15). В этом эксперименте участникам давалось изображение и предлагалось выбрать подходящие слова и расставить их в нужном порядке так, чтобы предложение описывало ситуацию. Картинки, как и в предыдущем эксперименте, различались по коли</w:t>
      </w:r>
      <w:r>
        <w:t xml:space="preserve">ч</w:t>
      </w:r>
      <w:r>
        <w:t xml:space="preserve">еству участников в постсобытии предиката и участников вне постсобытия, а числовое маркирование ИГ в предложении соответствовало количеству участников в постсобытии. В немецком зависимой переменной был выбор артикля; в польском — порядок расставленных слов.</w:t>
      </w:r>
      <w:r/>
    </w:p>
    <w:p>
      <w:pPr>
        <w:pBdr/>
        <w:spacing/>
        <w:ind/>
        <w:rPr/>
      </w:pPr>
      <w:r>
        <w:t xml:space="preserve">Как и в предыдущем эксперименте, выбор артикля немецкоговорящими участниками зависел от удовлетворения пресуппозиции; выбор порядка слов польскими участниками — не зависел.</w:t>
      </w:r>
      <w:r/>
    </w:p>
    <w:p>
      <w:pPr>
        <w:pBdr/>
        <w:spacing/>
        <w:ind/>
        <w:rPr/>
      </w:pPr>
      <w:r>
        <w:t xml:space="preserve">Для объяснения несоответствия результатов экспериментов гипотезам Шимик и Демиан предполагают, что в первом эксперименте </w:t>
      </w:r>
      <w:r>
        <w:t xml:space="preserve">ИГ не были интерпретированы топикально, так как референт не упоминался до стимула, и что во втором эксперименте из-за неконтролируемой просодии предложения интерпретировались тетически. Они также упоминают ограничения на предложения, начинающиеся с глагола</w:t>
      </w:r>
      <w:r>
        <w:t xml:space="preserve"> [</w:t>
      </w:r>
      <w:r>
        <w:fldChar w:fldCharType="begin"/>
        <w:instrText xml:space="preserve"> REF _Ref7 \r  \h</w:instrText>
        <w:fldChar w:fldCharType="separate"/>
      </w:r>
      <w:r>
        <w:t xml:space="preserve">4</w:t>
      </w:r>
      <w:r>
        <w:fldChar w:fldCharType="end"/>
      </w:r>
      <w:r>
        <w:t xml:space="preserve">]</w:t>
      </w:r>
      <w:r>
        <w:t xml:space="preserve">.</w:t>
      </w:r>
      <w:bookmarkEnd w:id="21"/>
      <w:r/>
      <w:r/>
    </w:p>
    <w:p>
      <w:pPr>
        <w:pStyle w:val="909"/>
        <w:pBdr/>
        <w:spacing/>
        <w:ind/>
        <w:rPr/>
      </w:pPr>
      <w:r/>
      <w:bookmarkStart w:id="31" w:name="дизайн-эксперимента"/>
      <w:r>
        <w:t xml:space="preserve">Дизайн эксперимента</w:t>
      </w:r>
      <w:r/>
    </w:p>
    <w:p>
      <w:pPr>
        <w:pBdr/>
        <w:spacing/>
        <w:ind/>
        <w:rPr/>
      </w:pPr>
      <w:r>
        <w:t xml:space="preserve">Нашей целью было поставить эксперимент, </w:t>
      </w:r>
      <w:r>
        <w:t xml:space="preserve">который проверял бы наличие пресуппозиций максимальности, а также существования, у предглагольных неагентивных субъектов. Эксперимент должен был решать проблемы дизайнов Шимика и Демиана. Во-первых, информационная структура именных групп должна была быть з</w:t>
      </w:r>
      <w:r>
        <w:t xml:space="preserve">афиксирована — они должны были быть топикальны. Во-вторых, стимулы должны были иметь материал на левой периферии, чтобы избежать ограничения Северской. Для уменьшения количества независимых переменных проверялись только именные группы в единственном числе.</w:t>
      </w:r>
      <w:r/>
    </w:p>
    <w:p>
      <w:pPr>
        <w:pBdr/>
        <w:spacing/>
        <w:ind/>
        <w:rPr/>
      </w:pPr>
      <w:r>
        <w:t xml:space="preserve">Чтобы ИГ были топикальны, при этом их существование не пресуппонировалось, необходим дистрибутивный контекст. Из-за этого </w:t>
      </w:r>
      <w:r>
        <w:t xml:space="preserve">клаузами, в которых проверялась пресуппозиция, были протазисы условных предложений. Это позволило также избежать необходимости контролировать просодию: в протазисе условного просодический акцент находится на субъекте в препозиции только при узком фокусе.</w:t>
      </w:r>
      <w:r/>
    </w:p>
    <w:p>
      <w:pPr>
        <w:pBdr/>
        <w:spacing/>
        <w:ind/>
        <w:rPr/>
      </w:pPr>
      <w:r>
        <w:t xml:space="preserve">Эксперимент включал 9 стимулов в трех вариантах и 9 филлеров. Процесс прохождения эксперимента был следующим:</w:t>
      </w:r>
      <w:r/>
    </w:p>
    <w:p>
      <w:pPr>
        <w:pStyle w:val="925"/>
        <w:pBdr/>
        <w:spacing/>
        <w:ind/>
        <w:rPr/>
      </w:pPr>
      <w:r>
        <w:t xml:space="preserve">Участник видел короткий контекст. В контексте описывалась контекстная ситуация; референты проверяемой ИГ не упоминались.</w:t>
      </w:r>
      <w:r/>
    </w:p>
    <w:p>
      <w:pPr>
        <w:pStyle w:val="925"/>
        <w:pBdr/>
        <w:spacing/>
        <w:ind/>
        <w:rPr/>
      </w:pPr>
      <w:r>
        <w:t xml:space="preserve">Под контекстом участник видел изображение. Изображения включали несколько подситуаций. В каждую или в некоторые из этих подситуаций входил один или более референтов ИГ.</w:t>
      </w:r>
      <w:r/>
    </w:p>
    <w:p>
      <w:pPr>
        <w:pStyle w:val="925"/>
        <w:pBdr/>
        <w:spacing/>
        <w:ind/>
        <w:rPr/>
      </w:pPr>
      <w:r>
        <w:t xml:space="preserve">Прочитав контекст и рассмотрев изображение, участник нажимал на кнопку «далее», после чего под изображением появлялась преамбула и два варианта стимула, соответствующие двум порядкам слов.</w:t>
      </w:r>
      <w:r/>
    </w:p>
    <w:p>
      <w:pPr>
        <w:pStyle w:val="925"/>
        <w:pBdr/>
        <w:spacing/>
        <w:ind/>
        <w:rPr/>
      </w:pPr>
      <w:r>
        <w:t xml:space="preserve">Выбрав один из двух вариантов мышью или клавишами 1 и 2, участник переносился к следующему элементу эксперимента.</w:t>
      </w:r>
      <w:r/>
    </w:p>
    <w:p>
      <w:pPr>
        <w:pBdr/>
        <w:spacing/>
        <w:ind/>
        <w:rPr>
          <w:highlight w:val="none"/>
        </w:rPr>
      </w:pPr>
      <w:r>
        <w:t xml:space="preserve">Контекст мог иметь, например, следующий вид:</w:t>
      </w:r>
      <w:r>
        <w:rPr>
          <w:highlight w:val="none"/>
        </w:rPr>
      </w:r>
    </w:p>
    <w:p>
      <w:pPr>
        <w:pStyle w:val="935"/>
        <w:pBdr/>
        <w:spacing/>
        <w:ind/>
        <w:rPr/>
      </w:pPr>
      <w:r>
        <w:rPr>
          <w:highlight w:val="none"/>
        </w:rPr>
      </w:r>
      <w:r>
        <w:rPr>
          <w:highlight w:val="none"/>
        </w:rPr>
      </w:r>
      <w:r/>
    </w:p>
    <w:p>
      <w:pPr>
        <w:pBdr/>
        <w:spacing/>
        <w:ind/>
        <w:rPr>
          <w:bCs/>
          <w:i/>
        </w:rPr>
      </w:pPr>
      <w:r>
        <w:rPr>
          <w:i/>
          <w:iCs/>
        </w:rPr>
        <w:t xml:space="preserve">Это девочки из группы 3а одного детского сада.</w:t>
      </w:r>
      <w:r>
        <w:rPr>
          <w:i/>
          <w:iCs/>
        </w:rPr>
      </w:r>
      <w:r>
        <w:rPr>
          <w:bCs/>
          <w:i/>
        </w:rPr>
      </w:r>
    </w:p>
    <w:p>
      <w:pPr>
        <w:pBdr/>
        <w:spacing/>
        <w:ind/>
        <w:rPr>
          <w:highlight w:val="none"/>
        </w:rPr>
      </w:pPr>
      <w:r>
        <w:t xml:space="preserve">Изображения представляли собой иллюстрацию к контексту. Каждое изображение имело три варианта — такой, где все подситуации имею</w:t>
      </w:r>
      <w:r>
        <w:t xml:space="preserve">т ровно один объ</w:t>
      </w:r>
      <w:r>
        <w:t xml:space="preserve">ект; такой, где подситуации имеют один или ни одного объекта; и такой, где подситуации имеют один или более объектов. В данном случае подситуациями были девочки, а объектами — банты на их головах. Три варианта изображения представлены на рисунках 1, 2 и 3.</w:t>
      </w:r>
      <w:r>
        <w:rPr>
          <w:highlight w:val="none"/>
        </w:rPr>
      </w:r>
      <w:r>
        <w:rPr>
          <w:highlight w:val="none"/>
        </w:rPr>
      </w:r>
      <w:r>
        <w:rPr>
          <w:highlight w:val="none"/>
        </w:rPr>
      </w: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1976811" cy="1733978"/>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16310" name="Picture" descr="images/bows_0.png"/>
                        <pic:cNvPicPr>
                          <a:picLocks noChangeAspect="1"/>
                        </pic:cNvPicPr>
                        <pic:nvPr/>
                      </pic:nvPicPr>
                      <pic:blipFill>
                        <a:blip r:embed="rId10"/>
                        <a:stretch/>
                      </pic:blipFill>
                      <pic:spPr bwMode="auto">
                        <a:xfrm rot="0" flipH="0" flipV="0">
                          <a:off x="0" y="0"/>
                          <a:ext cx="1976810" cy="1733977"/>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55.65pt;height:136.53pt;mso-wrap-distance-left:0.00pt;mso-wrap-distance-top:0.00pt;mso-wrap-distance-right:0.00pt;mso-wrap-distance-bottom:0.00pt;rotation:0;z-index:1;" stroked="f" strokeweight="0.75pt">
                <v:imagedata r:id="rId10" o:title=""/>
                <o:lock v:ext="edit" rotation="t"/>
              </v:shape>
            </w:pict>
          </mc:Fallback>
        </mc:AlternateContent>
      </w:r>
      <w:r>
        <w:rPr>
          <w:highlight w:val="none"/>
        </w:rPr>
      </w:r>
      <w:r>
        <w:rPr>
          <w:highlight w:val="none"/>
        </w:rPr>
      </w:r>
    </w:p>
    <w:p>
      <w:pPr>
        <w:pStyle w:val="940"/>
        <w:pBdr/>
        <w:spacing/>
        <w:ind/>
        <w:rPr/>
      </w:pPr>
      <w:r>
        <w:rPr>
          <w:highlight w:val="none"/>
        </w:rPr>
        <w:t xml:space="preserve">Рисунок 1 — вариант изображения, не удовлетворяющий пресуппозиции существования </w:t>
      </w:r>
      <w:r>
        <w:rPr>
          <w:highlight w:val="none"/>
        </w:rPr>
        <w:t xml:space="preserve">(≤1)</w:t>
      </w:r>
      <w:r>
        <w:rPr>
          <w:highlight w:val="none"/>
        </w:rPr>
      </w:r>
      <w:r/>
      <w:r>
        <w:rPr>
          <w:highlight w:val="none"/>
        </w:rPr>
      </w:r>
      <w:r>
        <w:rPr>
          <w:highlight w:val="none"/>
        </w:rPr>
      </w:r>
      <w:r>
        <w:rPr>
          <w:highlight w:val="none"/>
        </w:rP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1976811" cy="1568293"/>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393" name="Picture" descr="images/bows_1.png"/>
                        <pic:cNvPicPr>
                          <a:picLocks noChangeAspect="1"/>
                        </pic:cNvPicPr>
                        <pic:nvPr/>
                      </pic:nvPicPr>
                      <pic:blipFill>
                        <a:blip r:embed="rId11"/>
                        <a:stretch/>
                      </pic:blipFill>
                      <pic:spPr bwMode="auto">
                        <a:xfrm rot="0" flipH="0" flipV="0">
                          <a:off x="0" y="0"/>
                          <a:ext cx="1976810" cy="1568292"/>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55.65pt;height:123.49pt;mso-wrap-distance-left:0.00pt;mso-wrap-distance-top:0.00pt;mso-wrap-distance-right:0.00pt;mso-wrap-distance-bottom:0.00pt;rotation:0;z-index:1;" stroked="f" strokeweight="0.75pt">
                <v:imagedata r:id="rId11" o:title=""/>
                <o:lock v:ext="edit" rotation="t"/>
              </v:shape>
            </w:pict>
          </mc:Fallback>
        </mc:AlternateContent>
      </w:r>
      <w:r>
        <w:rPr>
          <w:highlight w:val="none"/>
        </w:rPr>
      </w:r>
      <w:r>
        <w:rPr>
          <w:highlight w:val="none"/>
        </w:rPr>
      </w:r>
    </w:p>
    <w:p>
      <w:pPr>
        <w:pStyle w:val="940"/>
        <w:pBdr/>
        <w:spacing/>
        <w:ind/>
        <w:rPr>
          <w:highlight w:val="none"/>
        </w:rPr>
      </w:pPr>
      <w:r>
        <w:rPr>
          <w:highlight w:val="none"/>
        </w:rPr>
        <w:t xml:space="preserve">Рисунок 2 — вариант изображения, удовлетворяющий всем пресуппозициям (=1)</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1976811" cy="1503873"/>
                <wp:effectExtent l="4762" t="4762" r="4762" b="4762"/>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37815" name="Picture" descr="images/bows_2.png"/>
                        <pic:cNvPicPr>
                          <a:picLocks noChangeAspect="1"/>
                        </pic:cNvPicPr>
                        <pic:nvPr/>
                      </pic:nvPicPr>
                      <pic:blipFill>
                        <a:blip r:embed="rId12"/>
                        <a:stretch/>
                      </pic:blipFill>
                      <pic:spPr bwMode="auto">
                        <a:xfrm rot="0" flipH="0" flipV="0">
                          <a:off x="0" y="0"/>
                          <a:ext cx="1976810" cy="1503873"/>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55.65pt;height:118.42pt;mso-wrap-distance-left:0.00pt;mso-wrap-distance-top:0.00pt;mso-wrap-distance-right:0.00pt;mso-wrap-distance-bottom:0.00pt;rotation:0;z-index:1;" stroked="f" strokeweight="0.75pt">
                <v:imagedata r:id="rId12" o:title=""/>
                <o:lock v:ext="edit" rotation="t"/>
              </v:shape>
            </w:pict>
          </mc:Fallback>
        </mc:AlternateContent>
      </w:r>
      <w:r>
        <w:rPr>
          <w:highlight w:val="none"/>
        </w:rPr>
      </w:r>
      <w:r>
        <w:rPr>
          <w:highlight w:val="none"/>
        </w:rPr>
      </w:r>
    </w:p>
    <w:p>
      <w:pPr>
        <w:pStyle w:val="940"/>
        <w:pBdr/>
        <w:spacing/>
        <w:ind/>
        <w:rPr>
          <w:highlight w:val="none"/>
        </w:rPr>
      </w:pPr>
      <w:r>
        <w:rPr>
          <w:highlight w:val="none"/>
        </w:rPr>
        <w:t xml:space="preserve">Рисунок 3 — вариант изображения, не удовлетворяющий пресуппозиции уникальности (</w:t>
      </w:r>
      <w:r>
        <w:rPr>
          <w:highlight w:val="none"/>
        </w:rPr>
        <w:t xml:space="preserve">≥1</w:t>
      </w:r>
      <w:r>
        <w:rPr>
          <w:highlight w:val="none"/>
        </w:rPr>
        <w:t xml:space="preserve">)</w:t>
      </w:r>
      <w:r>
        <w:rPr>
          <w:highlight w:val="none"/>
        </w:rPr>
      </w:r>
      <w:r>
        <w:rPr>
          <w:highlight w:val="none"/>
        </w:rPr>
      </w:r>
    </w:p>
    <w:p>
      <w:pPr>
        <w:pBdr/>
        <w:spacing/>
        <w:ind/>
        <w:rPr/>
      </w:pPr>
      <w:r>
        <w:t xml:space="preserve">Стимул имел вид условного предложения. Протазис содержал именную группу в </w:t>
      </w:r>
      <w:r>
        <w:t xml:space="preserve">единственном числе и непереходный неаккузативный глагол, не являющийся глаголом появления. Стимулы были составлены таким образом, чтобы участник оценивал предложение дистрибутивно, то есть относительно каждой подситуации отдельно, а не всех ситуаций сразу.</w:t>
      </w:r>
      <w:r/>
    </w:p>
    <w:p>
      <w:pPr>
        <w:pBdr/>
        <w:spacing/>
        <w:ind/>
        <w:rPr>
          <w:highlight w:val="none"/>
        </w:rPr>
      </w:pPr>
      <w:r>
        <w:t xml:space="preserve">Два варианта стимула — с порядком слов VS и SV — были даны в случайном порядке. Преамбула выполняла роль, схожую с ролью контекста, за исключением того что не была отражена на изображении. Преамбула вместе с двумя вариантами стимула выглядела как (</w:t>
      </w:r>
      <w:r>
        <w:fldChar w:fldCharType="begin"/>
        <w:instrText xml:space="preserve"> REF _Ref13  \h</w:instrText>
        <w:fldChar w:fldCharType="separate"/>
      </w:r>
      <w:r/>
      <w:r/>
      <w:r>
        <w:rPr>
          <w:highlight w:val="none"/>
        </w:rPr>
      </w:r>
      <w:r/>
      <w:r/>
      <w:r>
        <w:fldChar w:fldCharType="end"/>
      </w:r>
      <w:r/>
      <w:r>
        <w:fldChar w:fldCharType="begin"/>
        <w:instrText xml:space="preserve"> REF _Ref13 \r  \h</w:instrText>
        <w:fldChar w:fldCharType="separate"/>
      </w:r>
      <w:r/>
      <w:r>
        <w:t xml:space="preserve">Пример 5</w:t>
      </w:r>
      <w:r/>
      <w:r>
        <w:fldChar w:fldCharType="end"/>
      </w:r>
      <w:r/>
      <w:r>
        <w:fldChar w:fldCharType="begin"/>
        <w:instrText xml:space="preserve"> REF _Ref13 \r  \h</w:instrText>
        <w:fldChar w:fldCharType="separate"/>
      </w:r>
      <w:r/>
      <w:r>
        <w:fldChar w:fldCharType="begin"/>
        <w:instrText xml:space="preserve"> REF _Ref13  \h</w:instrText>
        <w:fldChar w:fldCharType="separate"/>
      </w:r>
      <w:r/>
      <w:r/>
      <w:r>
        <w:rPr>
          <w:highlight w:val="none"/>
        </w:rPr>
      </w:r>
      <w:r/>
      <w:r/>
      <w:r>
        <w:fldChar w:fldCharType="end"/>
      </w:r>
      <w:r/>
      <w:r>
        <w:fldChar w:fldCharType="begin"/>
        <w:instrText xml:space="preserve"> REF _Ref13  \h</w:instrText>
        <w:fldChar w:fldCharType="separate"/>
      </w:r>
      <w:r/>
      <w:r/>
      <w:r>
        <w:rPr>
          <w:highlight w:val="none"/>
        </w:rPr>
      </w:r>
      <w:r/>
      <w:r/>
      <w:r>
        <w:fldChar w:fldCharType="end"/>
      </w:r>
      <w:r>
        <w:fldChar w:fldCharType="end"/>
      </w:r>
      <w:r>
        <w:t xml:space="preserve">).</w:t>
      </w:r>
      <w:r>
        <w:rPr>
          <w:highlight w:val="none"/>
        </w:rPr>
      </w:r>
    </w:p>
    <w:p>
      <w:pPr>
        <w:pStyle w:val="935"/>
        <w:pBdr/>
        <w:spacing/>
        <w:ind/>
        <w:rPr/>
      </w:pPr>
      <w:r/>
      <w:bookmarkStart w:id="53" w:name="_Ref13"/>
      <w:r>
        <w:rPr>
          <w:highlight w:val="none"/>
        </w:rPr>
      </w:r>
      <w:bookmarkEnd w:id="53"/>
      <w:r>
        <w:rPr>
          <w:highlight w:val="none"/>
        </w:rPr>
      </w:r>
      <w:r/>
    </w:p>
    <w:p>
      <w:pPr>
        <w:pBdr/>
        <w:spacing/>
        <w:ind w:firstLine="708"/>
        <w:rPr>
          <w:bCs/>
          <w:i/>
        </w:rPr>
      </w:pPr>
      <w:r>
        <w:rPr>
          <w:i/>
          <w:iCs/>
        </w:rPr>
        <w:t xml:space="preserve">Каждая девочка в этой группе очень беспокоится о своей прическе.</w:t>
      </w:r>
      <w:r>
        <w:rPr>
          <w:i/>
          <w:iCs/>
        </w:rPr>
      </w:r>
      <w:r>
        <w:rPr>
          <w:bCs/>
          <w:i/>
        </w:rPr>
      </w:r>
    </w:p>
    <w:p>
      <w:pPr>
        <w:pStyle w:val="925"/>
        <w:pBdr/>
        <w:spacing/>
        <w:ind/>
        <w:rPr/>
      </w:pPr>
      <w:r>
        <w:rPr>
          <w:i/>
          <w:iCs/>
        </w:rPr>
        <w:t xml:space="preserve">Если бантик развязывается, девочка сразу идет к воспитателю.</w:t>
      </w:r>
      <w:r/>
    </w:p>
    <w:p>
      <w:pPr>
        <w:pStyle w:val="925"/>
        <w:pBdr/>
        <w:spacing/>
        <w:ind/>
        <w:rPr/>
      </w:pPr>
      <w:r>
        <w:rPr>
          <w:i/>
          <w:iCs/>
        </w:rPr>
        <w:t xml:space="preserve">Если развязывается бантик, девочка сразу идет к воспитателю.</w:t>
      </w:r>
      <w:r/>
    </w:p>
    <w:p>
      <w:pPr>
        <w:pBdr/>
        <w:spacing/>
        <w:ind/>
        <w:rPr/>
      </w:pPr>
      <w:r>
        <w:t xml:space="preserve">В зависимости от количества объектов в подситуациях удовлетворялись различные пресуппозиции определенных ИГ. В случаях с ровно одним объектом в каждой подси</w:t>
      </w:r>
      <w:r>
        <w:t xml:space="preserve">туации удовлетворялись и уникальность, и существование (такой вариант изображения служил бейзлайном). Изображения с одним и более объектом удовлетворяли пресуппозицию существования, но не уникальности; с одним или нулем — уникальности, но не существования.</w:t>
      </w:r>
      <w:r/>
    </w:p>
    <w:p>
      <w:pPr>
        <w:pBdr/>
        <w:spacing/>
        <w:ind/>
        <w:rPr/>
      </w:pPr>
      <w:r>
        <w:t xml:space="preserve">Ожидалось, что в случае удовлетворения пресуппозициям (случай</w:t>
      </w:r>
      <w:r>
        <w:t xml:space="preserve"> </w:t>
      </w:r>
      <w:r>
        <w:t xml:space="preserve">=1</w:t>
      </w:r>
      <w:r>
        <w:t xml:space="preserve">) именная группа должна, по правилу максимизации пресуппозиции, интерпретироваться как определенная и чаще находиться слева от глагола. При вариантах изображений</w:t>
      </w:r>
      <w:r>
        <w:t xml:space="preserve"> </w:t>
      </w:r>
      <w:r>
        <w:t xml:space="preserve">≤1</w:t>
      </w:r>
      <w:r>
        <w:t xml:space="preserve"> </w:t>
      </w:r>
      <w:r>
        <w:t xml:space="preserve">и</w:t>
      </w:r>
      <w:r>
        <w:t xml:space="preserve"> </w:t>
      </w:r>
      <w:r>
        <w:t xml:space="preserve">≥1</w:t>
      </w:r>
      <w:r>
        <w:t xml:space="preserve"> </w:t>
      </w:r>
      <w:r>
        <w:t xml:space="preserve">более частотным выбором должны были быть предложения с порядком слов VS.</w:t>
      </w:r>
      <w:bookmarkEnd w:id="31"/>
      <w:r/>
      <w:r/>
    </w:p>
    <w:p>
      <w:pPr>
        <w:pStyle w:val="909"/>
        <w:pBdr/>
        <w:spacing/>
        <w:ind/>
        <w:rPr/>
      </w:pPr>
      <w:r/>
      <w:bookmarkStart w:id="38" w:name="результаты-и-обсуждение"/>
      <w:r>
        <w:t xml:space="preserve">Результаты и обсуждение</w:t>
      </w:r>
      <w:r/>
    </w:p>
    <w:p>
      <w:pPr>
        <w:pBdr/>
        <w:spacing/>
        <w:ind/>
        <w:rPr/>
      </w:pPr>
      <w:r>
        <w:t xml:space="preserve">В эксперименте приняло участие 42 человека. Результаты эксперимента представлены на рисунке 4.</w:t>
      </w:r>
      <w:r/>
    </w:p>
    <w:p>
      <w:pPr>
        <w:pBdr/>
        <w:spacing/>
        <w:ind/>
        <w:rPr/>
      </w:pPr>
      <w:r/>
      <w:bookmarkStart w:id="35" w:name="plot"/>
      <w:r>
        <mc:AlternateContent>
          <mc:Choice Requires="wpg">
            <w:drawing>
              <wp:inline xmlns:wp="http://schemas.openxmlformats.org/drawingml/2006/wordprocessingDrawing" distT="0" distB="0" distL="0" distR="0">
                <wp:extent cx="3558540" cy="3558540"/>
                <wp:effectExtent l="0" t="0" r="0" b="0"/>
                <wp:docPr id="4" name="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images/plot.png"/>
                        <pic:cNvPicPr>
                          <a:picLocks noChangeAspect="1"/>
                        </pic:cNvPicPr>
                        <pic:nvPr/>
                      </pic:nvPicPr>
                      <pic:blipFill>
                        <a:blip r:embed="rId13"/>
                        <a:stretch/>
                      </pic:blipFill>
                      <pic:spPr bwMode="auto">
                        <a:xfrm>
                          <a:off x="0" y="0"/>
                          <a:ext cx="3558540" cy="3558540"/>
                        </a:xfrm>
                        <a:prstGeom prst="rect">
                          <a:avLst/>
                        </a:prstGeom>
                        <a:noFill/>
                        <a:ln w="9525">
                          <a:noFill/>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0.20pt;height:280.20pt;mso-wrap-distance-left:0.00pt;mso-wrap-distance-top:0.00pt;mso-wrap-distance-right:0.00pt;mso-wrap-distance-bottom:0.00pt;z-index:1;" stroked="f" strokeweight="0.75pt">
                <v:imagedata r:id="rId13" o:title=""/>
                <o:lock v:ext="edit" rotation="t"/>
              </v:shape>
            </w:pict>
          </mc:Fallback>
        </mc:AlternateContent>
      </w:r>
      <w:r/>
    </w:p>
    <w:p>
      <w:pPr>
        <w:pStyle w:val="940"/>
        <w:pBdr/>
        <w:spacing/>
        <w:ind/>
        <w:rPr/>
      </w:pPr>
      <w:r>
        <w:t xml:space="preserve">Рисунок 4 — зависимость частотности выбора SV от варианта стимула.</w:t>
      </w:r>
      <w:bookmarkEnd w:id="35"/>
      <w:r/>
      <w:r/>
      <w:r>
        <w:rPr>
          <w:highlight w:val="none"/>
        </w:rPr>
      </w:r>
      <w:r>
        <w:rPr>
          <w:highlight w:val="none"/>
        </w:rPr>
      </w:r>
      <w:r/>
    </w:p>
    <w:p>
      <w:pPr>
        <w:pBdr/>
        <w:spacing/>
        <w:ind w:firstLine="0"/>
        <w:rPr>
          <w:highlight w:val="none"/>
        </w:rPr>
      </w:pPr>
      <w:r>
        <w:t xml:space="preserve">График изображает долю выбора порядка слов SV. В случае, когда все пресуппозиции удовлетворяются (столбец «</w:t>
      </w:r>
      <w:r>
        <w:t xml:space="preserve">=1</w:t>
      </w:r>
      <w:r>
        <w:t xml:space="preserve">»), SV действительно выбиралась чаще, чем в других ситуациях, что соответствует гипотезе. При этом различие слабее, чем ожидалось бы в случае полноценного нарушения пресуппозиции.</w:t>
      </w:r>
      <w:r/>
    </w:p>
    <w:p>
      <w:pPr>
        <w:pBdr/>
        <w:spacing/>
        <w:ind/>
        <w:rPr/>
      </w:pPr>
      <w:r>
        <w:t xml:space="preserve">Для подтвержде</w:t>
      </w:r>
      <w:r>
        <w:t xml:space="preserve">ния гипотез был проведен статистический анализ с помощью модели линейной регрессии со смешанными эффектами, со случайными точками пересечения для участников и стимулов. Ниже описаны результаты анализа и обсуждаются теоретические следствия этих результатов.</w:t>
      </w:r>
      <w:r/>
    </w:p>
    <w:p>
      <w:pPr>
        <w:pStyle w:val="910"/>
        <w:pBdr/>
        <w:spacing/>
        <w:ind/>
        <w:rPr/>
      </w:pPr>
      <w:r/>
      <w:bookmarkStart w:id="36" w:name="уникальность"/>
      <w:r>
        <w:t xml:space="preserve">Уникальность</w:t>
      </w:r>
      <w:r/>
    </w:p>
    <w:p>
      <w:pPr>
        <w:pBdr/>
        <w:spacing/>
        <w:ind/>
        <w:rPr/>
      </w:pPr>
      <w:r>
        <w:t xml:space="preserve">Статистический анализ показал, что различие в частотности предглагольных субъектов при удовлетворении всех пресуппозиций и нарушении пресуппозиции уникальности статистически значимо (</w:t>
      </w:r>
      <w:r>
        <w:t xml:space="preserve">z = 2.353, p = 0.019</w:t>
      </w:r>
      <w:r>
        <w:t xml:space="preserve">). Это означает, что участники действительно выбира</w:t>
      </w:r>
      <w:r>
        <w:t xml:space="preserve">ют порядок слов, основываясь на возможности уникально идентифицировать референт ИГ на каждой из подситуаций. Это подтверждает нашу гипотезу и демонстрирует, что эксперименты Шимика и Демиана не смогли выявить корреляцию по причинам иным, чем ее отсутствие.</w:t>
      </w:r>
      <w:r/>
    </w:p>
    <w:p>
      <w:pPr>
        <w:pBdr/>
        <w:spacing/>
        <w:ind/>
        <w:rPr/>
      </w:pPr>
      <w:r>
        <w:t xml:space="preserve">Хотя сравнительный эксперимент д</w:t>
      </w:r>
      <w:r>
        <w:t xml:space="preserve">ля языков с артиклями проведен не был, можно обратить внимание на то, что корреляция достаточно слабая, несмотря на избавление от проблем дизайна предшествующих экспериментов. Можно было бы предположить, что значение уникальности является не пресуппозицией</w:t>
      </w:r>
      <w:r>
        <w:t xml:space="preserve">, а, например, отменяемой импликатурой. Однако импликатура уникальности референта едва ли является засвидетельствованной в языках мира, и еще более удивительна, если предположить, что природа определенности заключается в возможности идентификации референта</w:t>
      </w:r>
      <w:r>
        <w:t xml:space="preserve"> [напр. </w:t>
      </w:r>
      <w:r>
        <w:fldChar w:fldCharType="begin"/>
        <w:instrText xml:space="preserve"> REF _Ref8 \r  \h</w:instrText>
        <w:fldChar w:fldCharType="separate"/>
      </w:r>
      <w:r>
        <w:t xml:space="preserve">3</w:t>
      </w:r>
      <w:r>
        <w:fldChar w:fldCharType="end"/>
      </w:r>
      <w:r>
        <w:t xml:space="preserve">]</w:t>
      </w:r>
      <w:r>
        <w:t xml:space="preserve">. Мы считаем, что такое объяснение маловероятно.</w:t>
      </w:r>
      <w:r/>
    </w:p>
    <w:p>
      <w:pPr>
        <w:pBdr/>
        <w:spacing/>
        <w:ind/>
        <w:rPr/>
      </w:pPr>
      <w:r>
        <w:t xml:space="preserve">Мы сч</w:t>
      </w:r>
      <w:r>
        <w:t xml:space="preserve">итаем, что как минимум одной из причин низкой корреляции является дизайн стимулов. Если на одних из стимулов корреляция очень значительна, на других ее нет вовсе. Мы считаем, что более точно выверенные стимулы могут показать большую корреляцию.</w:t>
      </w:r>
      <w:r/>
    </w:p>
    <w:p>
      <w:pPr>
        <w:pBdr/>
        <w:spacing/>
        <w:ind/>
        <w:rPr/>
      </w:pPr>
      <w:r>
        <w:t xml:space="preserve">Несмотря на это, остается безус</w:t>
      </w:r>
      <w:r>
        <w:t xml:space="preserve">ловным то, что порядок слов в русском языке позволяет значительно большую вариативность, чем европейские артикли. Возможно, причиной этого является наличие нескольких возможных дериваций, приводящих к одной и той же поверхностной реализации — SV, — некотор</w:t>
      </w:r>
      <w:r>
        <w:t xml:space="preserve">ые из которых вводят пресуппозицию уникальности, а другие возможны контекстах, ограниченных другим образом. Альтернативным предположением может быть то, что пресуппозиция, вызванная порядком слов, имеет фундаментально иную природу — как, например, в теории</w:t>
      </w:r>
      <w:r>
        <w:t xml:space="preserve"> [</w:t>
      </w:r>
      <w:r>
        <w:fldChar w:fldCharType="begin"/>
        <w:instrText xml:space="preserve"> REF _Ref9 \r  \h</w:instrText>
        <w:fldChar w:fldCharType="separate"/>
      </w:r>
      <w:r>
        <w:t xml:space="preserve">5</w:t>
      </w:r>
      <w:r>
        <w:fldChar w:fldCharType="end"/>
      </w:r>
      <w:r>
        <w:t xml:space="preserve">]</w:t>
      </w:r>
      <w:r>
        <w:t xml:space="preserve">, — приводящую к другим возможностям аккомодации. Вероятно, релевантной является также связь порядка слов с информационной структурой.</w:t>
      </w:r>
      <w:bookmarkEnd w:id="36"/>
      <w:r/>
      <w:r/>
    </w:p>
    <w:p>
      <w:pPr>
        <w:pStyle w:val="910"/>
        <w:pBdr/>
        <w:spacing/>
        <w:ind/>
        <w:rPr/>
      </w:pPr>
      <w:r/>
      <w:bookmarkStart w:id="37" w:name="существование"/>
      <w:r>
        <w:t xml:space="preserve">Существование</w:t>
      </w:r>
      <w:r/>
    </w:p>
    <w:p>
      <w:pPr>
        <w:pBdr/>
        <w:spacing/>
        <w:ind/>
        <w:rPr/>
      </w:pPr>
      <w:r>
        <w:t xml:space="preserve">Как можно увидеть из рисунка</w:t>
      </w:r>
      <w:r>
        <w:t xml:space="preserve"> </w:t>
      </w:r>
      <w:r>
        <w:t xml:space="preserve">1, частотность выбора порядка SV в столбце «</w:t>
      </w:r>
      <w:r>
        <w:t xml:space="preserve">≤1</w:t>
      </w:r>
      <w:r>
        <w:t xml:space="preserve">» ближе к таковой в столбце «</w:t>
      </w:r>
      <w:r>
        <w:t xml:space="preserve">=1», чем в столбце «</w:t>
      </w:r>
      <w:r>
        <w:t xml:space="preserve">≥1</w:t>
      </w:r>
      <w:r>
        <w:t xml:space="preserve">». Действительно, статистический анализ показывает, что различие между столбцами «</w:t>
      </w:r>
      <w:r>
        <w:t xml:space="preserve">≤1</w:t>
      </w:r>
      <w:r>
        <w:t xml:space="preserve">» и «</w:t>
      </w:r>
      <w:r>
        <w:t xml:space="preserve">=1</w:t>
      </w:r>
      <w:r>
        <w:t xml:space="preserve">» не значимо (z = 1.152, p = 0.249). Это значит, что эксперимент не смог выявить влияние удовлетворения пресуппозиции существования на выбор порядка слов. Следовательно, вторая часть гипотезы не подтверждается.</w:t>
      </w:r>
      <w:r/>
    </w:p>
    <w:p>
      <w:pPr>
        <w:pBdr/>
        <w:spacing/>
        <w:ind/>
        <w:rPr>
          <w:highlight w:val="none"/>
        </w:rPr>
      </w:pPr>
      <w:r>
        <w:t xml:space="preserve">Мы полагаем, что причина нечувствительности респондентов к пресуппозиции</w:t>
      </w:r>
      <w:r>
        <w:t xml:space="preserve"> существования заключается в том, как оценивается истинность предложений в контексте множественных ситуаций. Когда в контексте имеется множество ситуаций, последующие предложения оцениваются только относительно ситуаций, для которых они релевантны. Ср. (</w:t>
      </w:r>
      <w:r>
        <w:fldChar w:fldCharType="begin"/>
        <w:instrText xml:space="preserve"> REF _Ref14 \r  \h</w:instrText>
        <w:fldChar w:fldCharType="separate"/>
      </w:r>
      <w:r/>
      <w:r>
        <w:fldChar w:fldCharType="begin"/>
        <w:instrText xml:space="preserve"> REF _Ref14 \r  \h</w:instrText>
        <w:fldChar w:fldCharType="separate"/>
      </w:r>
      <w:r/>
      <w:r>
        <w:t xml:space="preserve">Пример 6</w:t>
      </w:r>
      <w:r/>
      <w:r>
        <w:fldChar w:fldCharType="end"/>
      </w:r>
      <w:r>
        <w:fldChar w:fldCharType="end"/>
      </w:r>
      <w:r>
        <w:t xml:space="preserve">).</w:t>
      </w:r>
      <w:r>
        <w:rPr>
          <w:highlight w:val="none"/>
        </w:rPr>
      </w:r>
    </w:p>
    <w:p>
      <w:pPr>
        <w:pStyle w:val="935"/>
        <w:pBdr/>
        <w:spacing/>
        <w:ind/>
        <w:rPr/>
      </w:pPr>
      <w:r/>
      <w:bookmarkStart w:id="54" w:name="_Ref14"/>
      <w:r>
        <w:rPr>
          <w:highlight w:val="none"/>
        </w:rPr>
      </w:r>
      <w:bookmarkEnd w:id="54"/>
      <w:r>
        <w:rPr>
          <w:highlight w:val="none"/>
        </w:rPr>
      </w:r>
      <w:r/>
    </w:p>
    <w:p>
      <w:pPr>
        <w:pBdr/>
        <w:spacing/>
        <w:ind/>
        <w:rPr>
          <w:bCs/>
          <w:i/>
        </w:rPr>
      </w:pPr>
      <w:r>
        <w:rPr>
          <w:i/>
          <w:iCs/>
        </w:rPr>
        <w:t xml:space="preserve">{Петя каждый день ходит на работу мимо пекарни и иногда покупает там сосиску в тесте.} Эту сосиску в тесте он съедает в обеденный перерыв.</w:t>
      </w:r>
      <w:r>
        <w:rPr>
          <w:i/>
          <w:iCs/>
        </w:rPr>
      </w:r>
      <w:r>
        <w:rPr>
          <w:bCs/>
          <w:i/>
        </w:rPr>
      </w:r>
    </w:p>
    <w:p>
      <w:pPr>
        <w:pBdr/>
        <w:spacing/>
        <w:ind/>
        <w:rPr/>
      </w:pPr>
      <w:r>
        <w:t xml:space="preserve">В контексте (</w:t>
      </w:r>
      <w:r>
        <w:fldChar w:fldCharType="begin"/>
        <w:instrText xml:space="preserve"> REF _Ref14 \r  \h</w:instrText>
        <w:fldChar w:fldCharType="separate"/>
      </w:r>
      <w:r/>
      <w:r>
        <w:t xml:space="preserve">Пример 6</w:t>
      </w:r>
      <w:r/>
      <w:r>
        <w:fldChar w:fldCharType="end"/>
      </w:r>
      <w:r>
        <w:t xml:space="preserve">) вводится множество ситуа</w:t>
      </w:r>
      <w:r>
        <w:t xml:space="preserve">ций — походов Пети на работу, — и в некоторых из этих ситуаций вводится новый референт — сосиска в тесте. Во втором предложении имеется именная группа с демонстративом, то есть требующая антецедента. Несмотря на то, что антецедент имеется не во всех ситуац</w:t>
      </w:r>
      <w:r>
        <w:t xml:space="preserve">иях, введенных контекстом, предложение приемлемо, и его ассерция распространяется только на ситуации, где имеется сосиска в тесте. По-видимому, при интерпретации предложения имеющиеся в контексте ситуации, для которых предложение нерелевантно, отсеиваются.</w:t>
      </w:r>
      <w:r/>
    </w:p>
    <w:p>
      <w:pPr>
        <w:pBdr/>
        <w:spacing/>
        <w:ind/>
        <w:rPr/>
      </w:pPr>
      <w:r>
        <w:t xml:space="preserve">Мы полагаем, что этот эффект имеет место и при оценке предложений в нашем эксперименте. Очевидно, если в вышеупом</w:t>
      </w:r>
      <w:r>
        <w:t xml:space="preserve">янутом примере девочка не имеет бантика, для нее протазис условного не может быть истинен и, следовательно, условное нерелевантно. Эти ситуации игнорируются при оценке пресуппозиций предложения и, соответственно, пресуппозиция существования не нарушается.</w:t>
      </w:r>
      <w:r/>
    </w:p>
    <w:p>
      <w:pPr>
        <w:pBdr/>
        <w:spacing/>
        <w:ind/>
        <w:rPr/>
      </w:pPr>
      <w:r>
        <w:t xml:space="preserve">Следует отметить, что то же самое не происходит с пресуппозицией уникальности, так как подситуации, в которых объекта более одного, все еще релевантны для интерпретации. Если девочка имеет</w:t>
      </w:r>
      <w:r>
        <w:t xml:space="preserve"> более одного бантика, у нее все еще может развязаться бантик, и в наиболее естественном прочтении предложения в (</w:t>
      </w:r>
      <w:r>
        <w:fldChar w:fldCharType="begin"/>
        <w:instrText xml:space="preserve"> REF _Ref13 \r  \h</w:instrText>
        <w:fldChar w:fldCharType="separate"/>
      </w:r>
      <w:r/>
      <w:r>
        <w:t xml:space="preserve">Пример 5</w:t>
      </w:r>
      <w:r/>
      <w:r>
        <w:fldChar w:fldCharType="end"/>
      </w:r>
      <w:r>
        <w:t xml:space="preserve">) ассертируют, что в таком случае она обратится к воспитателю. Исключить такие контекстные ситуации нельзя, и они влекут провал пресуппозиции.</w:t>
      </w:r>
      <w:bookmarkEnd w:id="37"/>
      <w:r/>
      <w:bookmarkEnd w:id="38"/>
      <w:r/>
      <w:r/>
    </w:p>
    <w:p>
      <w:pPr>
        <w:pStyle w:val="909"/>
        <w:pBdr/>
        <w:spacing/>
        <w:ind/>
        <w:rPr/>
      </w:pPr>
      <w:r/>
      <w:bookmarkStart w:id="39" w:name="заключение"/>
      <w:r>
        <w:t xml:space="preserve">Заключение</w:t>
      </w:r>
      <w:r/>
    </w:p>
    <w:p>
      <w:pPr>
        <w:pBdr/>
        <w:spacing/>
        <w:ind/>
        <w:rPr/>
      </w:pPr>
      <w:r>
        <w:t xml:space="preserve">Исследование связи порядка слов и определенности представляет собой область, многократно исследованную, но по-прежнему имеющую множество неразрешенных вопросов в отн</w:t>
      </w:r>
      <w:r>
        <w:t xml:space="preserve">ошении как анализа, так и легитимности данных, на которые опираются теоретические исследования. Экспериментальные исследования в этой области начались недавно и до сих пор не привели к успехам — корреляция порядка слов и определенности не была обнаружена.</w:t>
      </w:r>
      <w:r/>
    </w:p>
    <w:p>
      <w:pPr>
        <w:pBdr/>
        <w:spacing/>
        <w:ind/>
        <w:rPr/>
      </w:pPr>
      <w:r>
        <w:t xml:space="preserve">Мы предложили дизайн эксперимента, решающий</w:t>
      </w:r>
      <w:r>
        <w:t xml:space="preserve"> проблемы предыдущих исследований и способный выявить вышеупомянутую корреляцию. Поставленный нами эксперимент является пилотным — в дальнейшем планируется использовать этот дизайн с улучшенными стимулами и в эксперименте с большим количеством участников.</w:t>
      </w:r>
      <w:r/>
    </w:p>
    <w:p>
      <w:pPr>
        <w:pBdr/>
        <w:spacing/>
        <w:ind/>
        <w:rPr/>
      </w:pPr>
      <w:r>
        <w:t xml:space="preserve">Было обнаружено, что такой дизайн нечувствителен к пресуппозиции существования. Это ставит вопрос о том, как проверять пресуппозицию существования экспериментально во</w:t>
      </w:r>
      <w:r>
        <w:t xml:space="preserve">обще, если необходимо контролировать топикальность референта. Так или иначе, это выходит за рамки нашего исследования — мы заинтересованы в любой пресуппозиции, связанной с определенностью, и выявление влияния пресуппозиции уникальности для нас достаточно.</w:t>
      </w:r>
      <w:r/>
    </w:p>
    <w:p>
      <w:pPr>
        <w:pBdr/>
        <w:spacing/>
        <w:ind/>
        <w:rPr>
          <w:highlight w:val="none"/>
        </w:rPr>
      </w:pPr>
      <w:r>
        <w:t xml:space="preserve">Несмотря на то что форма стимулов создавалась</w:t>
      </w:r>
      <w:r>
        <w:t xml:space="preserve"> так, чтобы возможно было проверить пресуппозицию существования, она оказалась достаточно эффективной для проверки пресуппозиции уникальности. Поэтому в дальнейшем этот дизайн планируется использовать для проверки только пресуппозиции максимальности. Необх</w:t>
      </w:r>
      <w:r>
        <w:t xml:space="preserve">одимость обеспечивать возможность несоблюдения пресуппозиции существования значительно ограничивает множество подходящих стимулов, поэтому, избавившись от нее, мы получим доступ к более естественным контекстам и, следовательно, более качественным стимулам.</w:t>
      </w:r>
      <w:bookmarkEnd w:id="39"/>
      <w:r/>
      <w:bookmarkEnd w:id="40"/>
      <w:r/>
      <w:r>
        <w:rPr>
          <w:highlight w:val="none"/>
        </w:rPr>
      </w:r>
    </w:p>
    <w:p>
      <w:pPr>
        <w:pBdr/>
        <w:spacing/>
        <w:ind/>
        <w:rPr/>
      </w:pPr>
      <w:r/>
      <w:r/>
    </w:p>
    <w:p>
      <w:pPr>
        <w:pStyle w:val="944"/>
        <w:pBdr/>
        <w:spacing/>
        <w:ind/>
        <w:rPr/>
      </w:pPr>
      <w:r>
        <w:t xml:space="preserve">Список использованных источников</w:t>
      </w:r>
      <w:r/>
    </w:p>
    <w:p>
      <w:pPr>
        <w:pStyle w:val="923"/>
        <w:numPr>
          <w:ilvl w:val="0"/>
          <w:numId w:val="15"/>
        </w:numPr>
        <w:pBdr/>
        <w:spacing/>
        <w:ind/>
        <w:rPr/>
      </w:pPr>
      <w:r/>
      <w:bookmarkStart w:id="43" w:name="_Ref3"/>
      <w:r>
        <w:rPr>
          <w:highlight w:val="none"/>
        </w:rPr>
        <w:t xml:space="preserve">Brun D. Information Structure and the Status of NP in Russian // ZAS Papers in Linguis</w:t>
      </w:r>
      <w:r>
        <w:rPr>
          <w:highlight w:val="none"/>
        </w:rPr>
        <w:t xml:space="preserve">tics. — 2001. — Jan. 1. — Vol. 23. — P. 39–57.</w:t>
      </w:r>
      <w:bookmarkEnd w:id="43"/>
      <w:r>
        <w:rPr>
          <w:highlight w:val="none"/>
        </w:rPr>
      </w:r>
      <w:r/>
    </w:p>
    <w:p>
      <w:pPr>
        <w:pStyle w:val="923"/>
        <w:numPr>
          <w:ilvl w:val="0"/>
          <w:numId w:val="15"/>
        </w:numPr>
        <w:pBdr/>
        <w:spacing/>
        <w:ind/>
        <w:rPr/>
      </w:pPr>
      <w:r/>
      <w:bookmarkStart w:id="44" w:name="_Ref4"/>
      <w:r>
        <w:rPr>
          <w:highlight w:val="none"/>
        </w:rPr>
        <w:t xml:space="preserve">Geist L. Bare Singular NPs in Argument Positions: Restrictions on Indefiniteness // International </w:t>
      </w:r>
      <w:r>
        <w:rPr>
          <w:highlight w:val="none"/>
        </w:rPr>
        <w:t xml:space="preserve">Review of Pragmatics. — 2010. — Т. 2, № 2. — С. 191—227.</w:t>
      </w:r>
      <w:bookmarkEnd w:id="44"/>
      <w:r>
        <w:rPr>
          <w:highlight w:val="none"/>
        </w:rPr>
      </w:r>
      <w:r/>
    </w:p>
    <w:p>
      <w:pPr>
        <w:pStyle w:val="923"/>
        <w:numPr>
          <w:ilvl w:val="0"/>
          <w:numId w:val="15"/>
        </w:numPr>
        <w:pBdr/>
        <w:spacing/>
        <w:ind/>
        <w:rPr/>
      </w:pPr>
      <w:r/>
      <w:bookmarkStart w:id="48" w:name="_Ref8"/>
      <w:r>
        <w:rPr>
          <w:highlight w:val="none"/>
        </w:rPr>
        <w:t xml:space="preserve">Roberts C. Uniqueness in Definite Noun Phrases // Linguistics and Philosophy. — 2003. — </w:t>
      </w:r>
      <w:r>
        <w:rPr>
          <w:highlight w:val="none"/>
        </w:rPr>
        <w:t xml:space="preserve">Т. 26, № 3. — С. 287—350.</w:t>
      </w:r>
      <w:r>
        <w:rPr>
          <w:highlight w:val="none"/>
        </w:rPr>
      </w:r>
      <w:bookmarkEnd w:id="48"/>
      <w:r>
        <w:rPr>
          <w:highlight w:val="none"/>
        </w:rPr>
      </w:r>
      <w:r/>
    </w:p>
    <w:p>
      <w:pPr>
        <w:pStyle w:val="923"/>
        <w:numPr>
          <w:ilvl w:val="0"/>
          <w:numId w:val="15"/>
        </w:numPr>
        <w:pBdr/>
        <w:spacing/>
        <w:ind/>
        <w:rPr/>
      </w:pPr>
      <w:r/>
      <w:bookmarkStart w:id="47" w:name="_Ref7"/>
      <w:r>
        <w:rPr>
          <w:highlight w:val="none"/>
        </w:rPr>
        <w:t xml:space="preserve">Siewierska A. Subject and Object Order in Written Polish: Some Statistical Data. — </w:t>
      </w:r>
      <w:r>
        <w:rPr>
          <w:highlight w:val="none"/>
        </w:rPr>
        <w:t xml:space="preserve">1993. — Jan. 1.</w:t>
      </w:r>
      <w:bookmarkEnd w:id="47"/>
      <w:r>
        <w:rPr>
          <w:highlight w:val="none"/>
        </w:rPr>
      </w:r>
      <w:r/>
    </w:p>
    <w:p>
      <w:pPr>
        <w:pStyle w:val="923"/>
        <w:numPr>
          <w:ilvl w:val="0"/>
          <w:numId w:val="15"/>
        </w:numPr>
        <w:pBdr/>
        <w:spacing/>
        <w:ind/>
        <w:rPr/>
      </w:pPr>
      <w:r/>
      <w:bookmarkStart w:id="49" w:name="_Ref9"/>
      <w:r>
        <w:rPr>
          <w:highlight w:val="none"/>
        </w:rPr>
        <w:t xml:space="preserve">Šimík R. Inherent vs. Accidental Uniqueness in Bare and Demonstrative Nominals // </w:t>
      </w:r>
      <w:r>
        <w:rPr>
          <w:highlight w:val="none"/>
        </w:rPr>
        <w:t xml:space="preserve">Advances in formal Slavic linguistics 2018. — Berlin, 2021. — Sept. 7. — P. 365–391.</w:t>
      </w:r>
      <w:bookmarkEnd w:id="49"/>
      <w:r>
        <w:rPr>
          <w:highlight w:val="none"/>
        </w:rPr>
      </w:r>
      <w:r/>
    </w:p>
    <w:p>
      <w:pPr>
        <w:pStyle w:val="923"/>
        <w:numPr>
          <w:ilvl w:val="0"/>
          <w:numId w:val="15"/>
        </w:numPr>
        <w:pBdr/>
        <w:spacing/>
        <w:ind/>
        <w:rPr/>
      </w:pPr>
      <w:r/>
      <w:bookmarkStart w:id="45" w:name="_Ref5"/>
      <w:r>
        <w:rPr>
          <w:highlight w:val="none"/>
        </w:rPr>
        <w:t xml:space="preserve">Šimík R., Demian C. Definiteness, Uniqueness, and Maximality in Languages With and </w:t>
      </w:r>
      <w:r>
        <w:rPr>
          <w:highlight w:val="none"/>
        </w:rPr>
        <w:t xml:space="preserve">Without Articles // Journal of Semantics. — 2020. — Aug. 13. — Vol. 37, no. 3. — </w:t>
      </w:r>
      <w:r>
        <w:rPr>
          <w:highlight w:val="none"/>
        </w:rPr>
        <w:t xml:space="preserve">P. 311–366.</w:t>
      </w:r>
      <w:bookmarkEnd w:id="45"/>
      <w:r>
        <w:rPr>
          <w:highlight w:val="none"/>
        </w:rPr>
      </w:r>
      <w:r/>
    </w:p>
    <w:p>
      <w:pPr>
        <w:pStyle w:val="923"/>
        <w:numPr>
          <w:ilvl w:val="0"/>
          <w:numId w:val="15"/>
        </w:numPr>
        <w:pBdr/>
        <w:spacing/>
        <w:ind/>
        <w:rPr/>
      </w:pPr>
      <w:r/>
      <w:bookmarkStart w:id="46" w:name="_Ref6"/>
      <w:r>
        <w:rPr>
          <w:highlight w:val="none"/>
        </w:rPr>
        <w:t xml:space="preserve">Šimík R., Demian C. Uniqueness and Maximality in German and Polish: A Production Ex</w:t>
      </w:r>
      <w:r>
        <w:rPr>
          <w:highlight w:val="none"/>
        </w:rPr>
        <w:t xml:space="preserve">periment // Formal Approaches to Number in Slavic and Beyond / ed. by M. Dočekal, </w:t>
      </w:r>
      <w:r>
        <w:rPr>
          <w:highlight w:val="none"/>
        </w:rPr>
        <w:t xml:space="preserve">M. Wągiel. — Zenodo, 2021. — P. 149–171.</w:t>
      </w:r>
      <w:bookmarkEnd w:id="46"/>
      <w:r>
        <w:rPr>
          <w:highlight w:val="none"/>
        </w:rPr>
      </w:r>
      <w:r/>
    </w:p>
    <w:p>
      <w:pPr>
        <w:pStyle w:val="923"/>
        <w:numPr>
          <w:ilvl w:val="0"/>
          <w:numId w:val="15"/>
        </w:numPr>
        <w:pBdr/>
        <w:spacing/>
        <w:ind/>
        <w:rPr/>
      </w:pPr>
      <w:r/>
      <w:bookmarkStart w:id="42" w:name="_Ref2"/>
      <w:r>
        <w:rPr>
          <w:highlight w:val="none"/>
        </w:rPr>
        <w:t xml:space="preserve">Слюсарь Н. А. На стыке теорий: грамматика и информационная структура в рус</w:t>
      </w:r>
      <w:r>
        <w:rPr>
          <w:highlight w:val="none"/>
        </w:rPr>
        <w:t xml:space="preserve">ском и других языках. — URSS, 2018. — 415 с.</w:t>
      </w:r>
      <w:r>
        <w:rPr>
          <w:highlight w:val="none"/>
        </w:rPr>
      </w:r>
      <w:bookmarkEnd w:id="42"/>
      <w:r>
        <w:rPr>
          <w:highlight w:val="none"/>
        </w:rPr>
      </w:r>
      <w:r/>
    </w:p>
    <w:sectPr>
      <w:footerReference w:type="default" r:id="rId9"/>
      <w:footnotePr/>
      <w:endnotePr/>
      <w:type w:val="nextPage"/>
      <w:pgSz w:h="16838" w:orient="portrait" w:w="11906"/>
      <w:pgMar w:top="1134" w:right="850" w:bottom="1134" w:left="1701" w:header="708" w:footer="708"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457064926"/>
      <w:docPartObj>
        <w:docPartGallery w:val="Page Numbers (Bottom of Page)"/>
        <w:docPartUnique w:val="true"/>
      </w:docPartObj>
      <w:rPr/>
    </w:sdtPr>
    <w:sdtContent>
      <w:p>
        <w:pPr>
          <w:pStyle w:val="921"/>
          <w:pBdr/>
          <w:spacing/>
          <w:ind/>
          <w:rPr/>
        </w:pPr>
        <w:r>
          <w:fldChar w:fldCharType="begin"/>
        </w:r>
        <w:r>
          <w:instrText xml:space="preserve"> PAGE   \* MERGEFORMAT </w:instrText>
        </w:r>
        <w:r>
          <w:fldChar w:fldCharType="separate"/>
        </w:r>
        <w:r>
          <w:t xml:space="preserve">2</w:t>
        </w:r>
        <w:r>
          <w:fldChar w:fldCharType="end"/>
        </w:r>
        <w:r/>
      </w:p>
    </w:sdtContent>
  </w:sdt>
  <w:p>
    <w:pPr>
      <w:pStyle w:val="921"/>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429"/>
      </w:pPr>
      <w:pStyle w:val="923"/>
      <w:rPr>
        <w:rFonts w:hint="default" w:ascii="Symbol" w:hAnsi="Symbol"/>
      </w:rPr>
      <w:start w:val="1"/>
      <w:suff w:val="tab"/>
    </w:lvl>
    <w:lvl w:ilvl="1">
      <w:isLgl w:val="false"/>
      <w:lvlJc w:val="left"/>
      <w:lvlText w:val="o"/>
      <w:numFmt w:val="bullet"/>
      <w:pPr>
        <w:pBdr/>
        <w:spacing/>
        <w:ind w:hanging="360" w:left="2149"/>
      </w:pPr>
      <w:rPr>
        <w:rFonts w:hint="default" w:ascii="Courier New" w:hAnsi="Courier New" w:cs="Courier New"/>
      </w:rPr>
      <w:start w:val="1"/>
      <w:suff w:val="tab"/>
    </w:lvl>
    <w:lvl w:ilvl="2">
      <w:isLgl w:val="false"/>
      <w:lvlJc w:val="left"/>
      <w:lvlText w:val=""/>
      <w:numFmt w:val="bullet"/>
      <w:pPr>
        <w:pBdr/>
        <w:spacing/>
        <w:ind w:hanging="360" w:left="2869"/>
      </w:pPr>
      <w:rPr>
        <w:rFonts w:hint="default" w:ascii="Wingdings" w:hAnsi="Wingdings"/>
      </w:rPr>
      <w:start w:val="1"/>
      <w:suff w:val="tab"/>
    </w:lvl>
    <w:lvl w:ilvl="3">
      <w:isLgl w:val="false"/>
      <w:lvlJc w:val="left"/>
      <w:lvlText w:val=""/>
      <w:numFmt w:val="bullet"/>
      <w:pPr>
        <w:pBdr/>
        <w:spacing/>
        <w:ind w:hanging="360" w:left="3589"/>
      </w:pPr>
      <w:rPr>
        <w:rFonts w:hint="default" w:ascii="Symbol" w:hAnsi="Symbol"/>
      </w:rPr>
      <w:start w:val="1"/>
      <w:suff w:val="tab"/>
    </w:lvl>
    <w:lvl w:ilvl="4">
      <w:isLgl w:val="false"/>
      <w:lvlJc w:val="left"/>
      <w:lvlText w:val="o"/>
      <w:numFmt w:val="bullet"/>
      <w:pPr>
        <w:pBdr/>
        <w:spacing/>
        <w:ind w:hanging="360" w:left="4309"/>
      </w:pPr>
      <w:rPr>
        <w:rFonts w:hint="default" w:ascii="Courier New" w:hAnsi="Courier New" w:cs="Courier New"/>
      </w:rPr>
      <w:start w:val="1"/>
      <w:suff w:val="tab"/>
    </w:lvl>
    <w:lvl w:ilvl="5">
      <w:isLgl w:val="false"/>
      <w:lvlJc w:val="left"/>
      <w:lvlText w:val=""/>
      <w:numFmt w:val="bullet"/>
      <w:pPr>
        <w:pBdr/>
        <w:spacing/>
        <w:ind w:hanging="360" w:left="5029"/>
      </w:pPr>
      <w:rPr>
        <w:rFonts w:hint="default" w:ascii="Wingdings" w:hAnsi="Wingdings"/>
      </w:rPr>
      <w:start w:val="1"/>
      <w:suff w:val="tab"/>
    </w:lvl>
    <w:lvl w:ilvl="6">
      <w:isLgl w:val="false"/>
      <w:lvlJc w:val="left"/>
      <w:lvlText w:val=""/>
      <w:numFmt w:val="bullet"/>
      <w:pPr>
        <w:pBdr/>
        <w:spacing/>
        <w:ind w:hanging="360" w:left="5749"/>
      </w:pPr>
      <w:rPr>
        <w:rFonts w:hint="default" w:ascii="Symbol" w:hAnsi="Symbol"/>
      </w:rPr>
      <w:start w:val="1"/>
      <w:suff w:val="tab"/>
    </w:lvl>
    <w:lvl w:ilvl="7">
      <w:isLgl w:val="false"/>
      <w:lvlJc w:val="left"/>
      <w:lvlText w:val="o"/>
      <w:numFmt w:val="bullet"/>
      <w:pPr>
        <w:pBdr/>
        <w:spacing/>
        <w:ind w:hanging="360" w:left="6469"/>
      </w:pPr>
      <w:rPr>
        <w:rFonts w:hint="default" w:ascii="Courier New" w:hAnsi="Courier New" w:cs="Courier New"/>
      </w:rPr>
      <w:start w:val="1"/>
      <w:suff w:val="tab"/>
    </w:lvl>
    <w:lvl w:ilvl="8">
      <w:isLgl w:val="false"/>
      <w:lvlJc w:val="left"/>
      <w:lvlText w:val=""/>
      <w:numFmt w:val="bullet"/>
      <w:pPr>
        <w:pBdr/>
        <w:spacing/>
        <w:ind w:hanging="360" w:left="7189"/>
      </w:pPr>
      <w:rPr>
        <w:rFonts w:hint="default" w:ascii="Wingdings" w:hAnsi="Wingdings"/>
      </w:rPr>
      <w:start w:val="1"/>
      <w:suff w:val="tab"/>
    </w:lvl>
  </w:abstractNum>
  <w:abstractNum w:abstractNumId="1">
    <w:lvl w:ilvl="0">
      <w:isLgl w:val="false"/>
      <w:lvlJc w:val="left"/>
      <w:lvlText w:val="%1)"/>
      <w:numFmt w:val="russianLower"/>
      <w:pPr>
        <w:pBdr/>
        <w:spacing/>
        <w:ind w:hanging="360" w:left="1429"/>
      </w:pPr>
      <w:pStyle w:val="924"/>
      <w:rPr>
        <w:rFonts w:hint="default"/>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
    <w:lvl w:ilvl="0">
      <w:isLgl w:val="false"/>
      <w:lvlJc w:val="left"/>
      <w:lvlText w:val="%1"/>
      <w:numFmt w:val="decimal"/>
      <w:pPr>
        <w:pBdr/>
        <w:spacing/>
        <w:ind w:hanging="432" w:left="432"/>
      </w:pPr>
      <w:pStyle w:val="907"/>
      <w:rPr>
        <w:rFonts w:hint="default"/>
      </w:rPr>
      <w:start w:val="1"/>
      <w:suff w:val="tab"/>
    </w:lvl>
    <w:lvl w:ilvl="1">
      <w:isLgl w:val="false"/>
      <w:lvlJc w:val="left"/>
      <w:lvlText w:val="%1.%2"/>
      <w:numFmt w:val="decimal"/>
      <w:pPr>
        <w:pBdr/>
        <w:spacing/>
        <w:ind w:hanging="576" w:left="576"/>
      </w:pPr>
      <w:pStyle w:val="908"/>
      <w:rPr/>
      <w:start w:val="1"/>
      <w:suff w:val="tab"/>
    </w:lvl>
    <w:lvl w:ilvl="2">
      <w:isLgl w:val="false"/>
      <w:lvlJc w:val="left"/>
      <w:lvlText w:val="%1.%2.%3"/>
      <w:numFmt w:val="decimal"/>
      <w:pPr>
        <w:pBdr/>
        <w:spacing/>
        <w:ind w:hanging="720" w:left="720"/>
      </w:pPr>
      <w:pStyle w:val="909"/>
      <w:rPr/>
      <w:start w:val="1"/>
      <w:suff w:val="tab"/>
    </w:lvl>
    <w:lvl w:ilvl="3">
      <w:isLgl w:val="false"/>
      <w:lvlJc w:val="left"/>
      <w:lvlText w:val="%1.%2.%3.%4"/>
      <w:numFmt w:val="decimal"/>
      <w:pPr>
        <w:pBdr/>
        <w:spacing/>
        <w:ind w:hanging="864" w:left="864"/>
      </w:pPr>
      <w:pStyle w:val="910"/>
      <w:rPr/>
      <w:start w:val="1"/>
      <w:suff w:val="tab"/>
    </w:lvl>
    <w:lvl w:ilvl="4">
      <w:isLgl w:val="false"/>
      <w:lvlJc w:val="left"/>
      <w:lvlText w:val="%1.%2.%3.%4.%5"/>
      <w:numFmt w:val="decimal"/>
      <w:pPr>
        <w:pBdr/>
        <w:spacing/>
        <w:ind w:hanging="1008" w:left="1008"/>
      </w:pPr>
      <w:pStyle w:val="911"/>
      <w:rPr/>
      <w:start w:val="1"/>
      <w:suff w:val="tab"/>
    </w:lvl>
    <w:lvl w:ilvl="5">
      <w:isLgl w:val="false"/>
      <w:lvlJc w:val="left"/>
      <w:lvlText w:val="%1.%2.%3.%4.%5.%6"/>
      <w:numFmt w:val="decimal"/>
      <w:pPr>
        <w:pBdr/>
        <w:spacing/>
        <w:ind w:hanging="1152" w:left="1152"/>
      </w:pPr>
      <w:pStyle w:val="912"/>
      <w:rPr/>
      <w:start w:val="1"/>
      <w:suff w:val="tab"/>
    </w:lvl>
    <w:lvl w:ilvl="6">
      <w:isLgl w:val="false"/>
      <w:lvlJc w:val="left"/>
      <w:lvlText w:val="%1.%2.%3.%4.%5.%6.%7"/>
      <w:numFmt w:val="decimal"/>
      <w:pPr>
        <w:pBdr/>
        <w:spacing/>
        <w:ind w:hanging="1296" w:left="1296"/>
      </w:pPr>
      <w:pStyle w:val="913"/>
      <w:rPr/>
      <w:start w:val="1"/>
      <w:suff w:val="tab"/>
    </w:lvl>
    <w:lvl w:ilvl="7">
      <w:isLgl w:val="false"/>
      <w:lvlJc w:val="left"/>
      <w:lvlText w:val="%1.%2.%3.%4.%5.%6.%7.%8"/>
      <w:numFmt w:val="decimal"/>
      <w:pPr>
        <w:pBdr/>
        <w:spacing/>
        <w:ind w:hanging="1440" w:left="1440"/>
      </w:pPr>
      <w:pStyle w:val="914"/>
      <w:rPr/>
      <w:start w:val="1"/>
      <w:suff w:val="tab"/>
    </w:lvl>
    <w:lvl w:ilvl="8">
      <w:isLgl w:val="false"/>
      <w:lvlJc w:val="left"/>
      <w:lvlText w:val="%1.%2.%3.%4.%5.%6.%7.%8.%9"/>
      <w:numFmt w:val="decimal"/>
      <w:pPr>
        <w:pBdr/>
        <w:spacing/>
        <w:ind w:hanging="1584" w:left="1584"/>
      </w:pPr>
      <w:pStyle w:val="915"/>
      <w:rPr/>
      <w:start w:val="1"/>
      <w:suff w:val="tab"/>
    </w:lvl>
  </w:abstractNum>
  <w:abstractNum w:abstractNumId="3">
    <w:lvl w:ilvl="0">
      <w:isLgl w:val="false"/>
      <w:lvlJc w:val="left"/>
      <w:lvlText w:val="Пример %1"/>
      <w:numFmt w:val="decimal"/>
      <w:pPr>
        <w:pBdr/>
        <w:spacing/>
        <w:ind w:hanging="360" w:left="1429"/>
      </w:pPr>
      <w:pStyle w:val="935"/>
      <w:rPr>
        <w:rFonts w:hint="default"/>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4">
    <w:lvl w:ilvl="0">
      <w:isLgl w:val="false"/>
      <w:lvlJc w:val="left"/>
      <w:lvlText w:val="%1)"/>
      <w:numFmt w:val="decimal"/>
      <w:pPr>
        <w:pBdr/>
        <w:spacing/>
        <w:ind w:hanging="360" w:left="1429"/>
      </w:pPr>
      <w:pStyle w:val="925"/>
      <w:rPr>
        <w:i w:val="0"/>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
      <w:numFmt w:val="bullet"/>
      <w:pPr>
        <w:pBdr/>
        <w:spacing/>
        <w:ind w:hanging="360" w:left="720"/>
      </w:pPr>
      <w:rPr/>
      <w:start w:val="0"/>
      <w:suff w:val="tab"/>
    </w:lvl>
    <w:lvl w:ilvl="1">
      <w:isLgl w:val="false"/>
      <w:lvlJc w:val="left"/>
      <w:lvlText w:val=" "/>
      <w:numFmt w:val="bullet"/>
      <w:pPr>
        <w:pBdr/>
        <w:spacing/>
        <w:ind w:hanging="360" w:left="1440"/>
      </w:pPr>
      <w:rPr/>
      <w:start w:val="0"/>
      <w:suff w:val="tab"/>
    </w:lvl>
    <w:lvl w:ilvl="2">
      <w:isLgl w:val="false"/>
      <w:lvlJc w:val="left"/>
      <w:lvlText w:val=" "/>
      <w:numFmt w:val="bullet"/>
      <w:pPr>
        <w:pBdr/>
        <w:spacing/>
        <w:ind w:hanging="360" w:left="2160"/>
      </w:pPr>
      <w:rPr/>
      <w:start w:val="0"/>
      <w:suff w:val="tab"/>
    </w:lvl>
    <w:lvl w:ilvl="3">
      <w:isLgl w:val="false"/>
      <w:lvlJc w:val="left"/>
      <w:lvlText w:val=" "/>
      <w:numFmt w:val="bullet"/>
      <w:pPr>
        <w:pBdr/>
        <w:spacing/>
        <w:ind w:hanging="360" w:left="2880"/>
      </w:pPr>
      <w:rPr/>
      <w:start w:val="0"/>
      <w:suff w:val="tab"/>
    </w:lvl>
    <w:lvl w:ilvl="4">
      <w:isLgl w:val="false"/>
      <w:lvlJc w:val="left"/>
      <w:lvlText w:val=" "/>
      <w:numFmt w:val="bullet"/>
      <w:pPr>
        <w:pBdr/>
        <w:spacing/>
        <w:ind w:hanging="360" w:left="3600"/>
      </w:pPr>
      <w:rPr/>
      <w:start w:val="0"/>
      <w:suff w:val="tab"/>
    </w:lvl>
    <w:lvl w:ilvl="5">
      <w:isLgl w:val="false"/>
      <w:lvlJc w:val="left"/>
      <w:lvlText w:val=" "/>
      <w:numFmt w:val="bullet"/>
      <w:pPr>
        <w:pBdr/>
        <w:spacing/>
        <w:ind w:hanging="360" w:left="4320"/>
      </w:pPr>
      <w:rPr/>
      <w:start w:val="0"/>
      <w:suff w:val="tab"/>
    </w:lvl>
    <w:lvl w:ilvl="6">
      <w:isLgl w:val="false"/>
      <w:lvlJc w:val="left"/>
      <w:lvlText w:val=" "/>
      <w:numFmt w:val="bullet"/>
      <w:pPr>
        <w:pBdr/>
        <w:spacing/>
        <w:ind w:hanging="360" w:left="5040"/>
      </w:pPr>
      <w:rPr/>
      <w:start w:val="0"/>
      <w:suff w:val="tab"/>
    </w:lvl>
    <w:lvl w:ilvl="7">
      <w:isLgl w:val="false"/>
      <w:lvlJc w:val="left"/>
      <w:lvlText w:val=" "/>
      <w:numFmt w:val="bullet"/>
      <w:pPr>
        <w:pBdr/>
        <w:spacing/>
        <w:ind w:hanging="360" w:left="5760"/>
      </w:pPr>
      <w:rPr/>
      <w:start w:val="0"/>
      <w:suff w:val="tab"/>
    </w:lvl>
    <w:lvl w:ilvl="8">
      <w:isLgl w:val="false"/>
      <w:lvlJc w:val="left"/>
      <w:lvlText w:val=" "/>
      <w:numFmt w:val="bullet"/>
      <w:pPr>
        <w:pBdr/>
        <w:spacing/>
        <w:ind w:hanging="360" w:left="6480"/>
      </w:pPr>
      <w:rPr/>
      <w:start w:val="0"/>
      <w:suff w:val="tab"/>
    </w:lvl>
  </w:abstractNum>
  <w:abstractNum w:abstractNumId="6">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left"/>
      <w:lvlText w:val="%3."/>
      <w:numFmt w:val="lowerRoman"/>
      <w:pPr>
        <w:pBdr/>
        <w:spacing/>
        <w:ind w:hanging="36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left"/>
      <w:lvlText w:val="%6."/>
      <w:numFmt w:val="lowerRoman"/>
      <w:pPr>
        <w:pBdr/>
        <w:spacing/>
        <w:ind w:hanging="36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left"/>
      <w:lvlText w:val="%9."/>
      <w:numFmt w:val="lowerRoman"/>
      <w:pPr>
        <w:pBdr/>
        <w:spacing/>
        <w:ind w:hanging="360" w:left="6480"/>
      </w:pPr>
      <w:rPr/>
      <w:start w:val="1"/>
      <w:suff w:val="tab"/>
    </w:lvl>
  </w:abstractNum>
  <w:abstractNum w:abstractNumId="7">
    <w:lvl w:ilvl="0">
      <w:isLgl w:val="false"/>
      <w:lvlJc w:val="left"/>
      <w:lvlText w:val="%1)"/>
      <w:numFmt w:val="russianLower"/>
      <w:pPr>
        <w:pBdr/>
        <w:spacing/>
        <w:ind w:hanging="360" w:left="1068"/>
      </w:pPr>
      <w:pStyle w:val="924"/>
      <w:rPr>
        <w:rFonts w:hint="default"/>
      </w:rPr>
      <w:start w:val="1"/>
      <w:suff w:val="tab"/>
    </w:lvl>
    <w:lvl w:ilvl="1">
      <w:isLgl w:val="false"/>
      <w:lvlJc w:val="left"/>
      <w:lvlText w:val="%2."/>
      <w:numFmt w:val="lowerLetter"/>
      <w:pPr>
        <w:pBdr/>
        <w:spacing/>
        <w:ind w:hanging="360" w:left="1079"/>
      </w:pPr>
      <w:rPr/>
      <w:start w:val="1"/>
      <w:suff w:val="tab"/>
    </w:lvl>
    <w:lvl w:ilvl="2">
      <w:isLgl w:val="false"/>
      <w:lvlJc w:val="right"/>
      <w:lvlText w:val="%3."/>
      <w:numFmt w:val="lowerRoman"/>
      <w:pPr>
        <w:pBdr/>
        <w:spacing/>
        <w:ind w:hanging="180" w:left="1799"/>
      </w:pPr>
      <w:rPr/>
      <w:start w:val="1"/>
      <w:suff w:val="tab"/>
    </w:lvl>
    <w:lvl w:ilvl="3">
      <w:isLgl w:val="false"/>
      <w:lvlJc w:val="left"/>
      <w:lvlText w:val="%4."/>
      <w:numFmt w:val="decimal"/>
      <w:pPr>
        <w:pBdr/>
        <w:spacing/>
        <w:ind w:hanging="360" w:left="2519"/>
      </w:pPr>
      <w:rPr/>
      <w:start w:val="1"/>
      <w:suff w:val="tab"/>
    </w:lvl>
    <w:lvl w:ilvl="4">
      <w:isLgl w:val="false"/>
      <w:lvlJc w:val="left"/>
      <w:lvlText w:val="%5."/>
      <w:numFmt w:val="lowerLetter"/>
      <w:pPr>
        <w:pBdr/>
        <w:spacing/>
        <w:ind w:hanging="360" w:left="3239"/>
      </w:pPr>
      <w:rPr/>
      <w:start w:val="1"/>
      <w:suff w:val="tab"/>
    </w:lvl>
    <w:lvl w:ilvl="5">
      <w:isLgl w:val="false"/>
      <w:lvlJc w:val="right"/>
      <w:lvlText w:val="%6."/>
      <w:numFmt w:val="lowerRoman"/>
      <w:pPr>
        <w:pBdr/>
        <w:spacing/>
        <w:ind w:hanging="180" w:left="3959"/>
      </w:pPr>
      <w:rPr/>
      <w:start w:val="1"/>
      <w:suff w:val="tab"/>
    </w:lvl>
    <w:lvl w:ilvl="6">
      <w:isLgl w:val="false"/>
      <w:lvlJc w:val="left"/>
      <w:lvlText w:val="%7."/>
      <w:numFmt w:val="decimal"/>
      <w:pPr>
        <w:pBdr/>
        <w:spacing/>
        <w:ind w:hanging="360" w:left="4679"/>
      </w:pPr>
      <w:rPr/>
      <w:start w:val="1"/>
      <w:suff w:val="tab"/>
    </w:lvl>
    <w:lvl w:ilvl="7">
      <w:isLgl w:val="false"/>
      <w:lvlJc w:val="left"/>
      <w:lvlText w:val="%8."/>
      <w:numFmt w:val="lowerLetter"/>
      <w:pPr>
        <w:pBdr/>
        <w:spacing/>
        <w:ind w:hanging="360" w:left="5399"/>
      </w:pPr>
      <w:rPr/>
      <w:start w:val="1"/>
      <w:suff w:val="tab"/>
    </w:lvl>
    <w:lvl w:ilvl="8">
      <w:isLgl w:val="false"/>
      <w:lvlJc w:val="right"/>
      <w:lvlText w:val="%9."/>
      <w:numFmt w:val="lowerRoman"/>
      <w:pPr>
        <w:pBdr/>
        <w:spacing/>
        <w:ind w:hanging="180" w:left="6119"/>
      </w:pPr>
      <w:rPr/>
      <w:start w:val="1"/>
      <w:suff w:val="tab"/>
    </w:lvl>
  </w:abstractNum>
  <w:abstractNum w:abstractNumId="8">
    <w:lvl w:ilvl="0">
      <w:isLgl w:val="false"/>
      <w:lvlJc w:val="left"/>
      <w:lvlText w:val="%1)"/>
      <w:numFmt w:val="decimal"/>
      <w:pPr>
        <w:pBdr/>
        <w:spacing/>
        <w:ind w:hanging="360" w:left="1429"/>
      </w:pPr>
      <w:pStyle w:val="925"/>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9">
    <w:lvl w:ilvl="0">
      <w:isLgl w:val="false"/>
      <w:lvlJc w:val="left"/>
      <w:lvlText w:val="%1)"/>
      <w:numFmt w:val="decimal"/>
      <w:pPr>
        <w:pBdr/>
        <w:spacing/>
        <w:ind w:hanging="360" w:left="1429"/>
      </w:pPr>
      <w:pStyle w:val="925"/>
      <w:rPr>
        <w:sz w:val="22"/>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0"/>
  </w:num>
  <w:num w:numId="2">
    <w:abstractNumId w:val="1"/>
  </w:num>
  <w:num w:numId="3">
    <w:abstractNumId w:val="1"/>
    <w:lvlOverride w:ilvl="0">
      <w:startOverride w:val="1"/>
    </w:lvlOverride>
  </w:num>
  <w:num w:numId="4">
    <w:abstractNumId w:val="1"/>
    <w:lvlOverride w:ilvl="0">
      <w:startOverride w:val="1"/>
    </w:lvlOverride>
  </w:num>
  <w:num w:numId="5">
    <w:abstractNumId w:val="4"/>
  </w:num>
  <w:num w:numId="6">
    <w:abstractNumId w:val="2"/>
  </w:num>
  <w:num w:numId="7">
    <w:abstractNumId w:val="3"/>
  </w:num>
  <w:num w:numId="8">
    <w:abstractNumId w:val="5"/>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8"/>
  </w:num>
  <w:num w:numId="14">
    <w:abstractNumId w:val="9"/>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ru-RU" w:eastAsia="ko-KR" w:bidi="ar-SA"/>
        <w14:ligatures w14:val="standardContextua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47">
    <w:name w:val="Table Grid Light"/>
    <w:basedOn w:val="91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Plain Table 1"/>
    <w:basedOn w:val="917"/>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Plain Table 2"/>
    <w:basedOn w:val="917"/>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3"/>
    <w:basedOn w:val="91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4"/>
    <w:basedOn w:val="91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5"/>
    <w:basedOn w:val="917"/>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1 Light"/>
    <w:basedOn w:val="917"/>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1 Light - Accent 1"/>
    <w:basedOn w:val="91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 Accent 2"/>
    <w:basedOn w:val="91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3"/>
    <w:basedOn w:val="91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4"/>
    <w:basedOn w:val="91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5"/>
    <w:basedOn w:val="91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6"/>
    <w:basedOn w:val="91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2"/>
    <w:basedOn w:val="91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2 - Accent 1"/>
    <w:basedOn w:val="91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 Accent 2"/>
    <w:basedOn w:val="91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3"/>
    <w:basedOn w:val="91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4"/>
    <w:basedOn w:val="91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5"/>
    <w:basedOn w:val="91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6"/>
    <w:basedOn w:val="91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3"/>
    <w:basedOn w:val="917"/>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3 - Accent 1"/>
    <w:basedOn w:val="917"/>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 Accent 2"/>
    <w:basedOn w:val="917"/>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3"/>
    <w:basedOn w:val="917"/>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4"/>
    <w:basedOn w:val="917"/>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5"/>
    <w:basedOn w:val="917"/>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6"/>
    <w:basedOn w:val="917"/>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4"/>
    <w:basedOn w:val="917"/>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4 - Accent 1"/>
    <w:basedOn w:val="917"/>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 Accent 2"/>
    <w:basedOn w:val="917"/>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3"/>
    <w:basedOn w:val="917"/>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4"/>
    <w:basedOn w:val="917"/>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5"/>
    <w:basedOn w:val="917"/>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6"/>
    <w:basedOn w:val="917"/>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5 Dark"/>
    <w:basedOn w:val="9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5 Dark- Accent 1"/>
    <w:basedOn w:val="9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 Accent 2"/>
    <w:basedOn w:val="9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 Accent 3"/>
    <w:basedOn w:val="9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Accent 4"/>
    <w:basedOn w:val="9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 Accent 5"/>
    <w:basedOn w:val="9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 Accent 6"/>
    <w:basedOn w:val="917"/>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6 Colorful"/>
    <w:basedOn w:val="917"/>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89">
    <w:name w:val="Grid Table 6 Colorful - Accent 1"/>
    <w:basedOn w:val="917"/>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90">
    <w:name w:val="Grid Table 6 Colorful - Accent 2"/>
    <w:basedOn w:val="91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91">
    <w:name w:val="Grid Table 6 Colorful - Accent 3"/>
    <w:basedOn w:val="917"/>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92">
    <w:name w:val="Grid Table 6 Colorful - Accent 4"/>
    <w:basedOn w:val="91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93">
    <w:name w:val="Grid Table 6 Colorful - Accent 5"/>
    <w:basedOn w:val="917"/>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4">
    <w:name w:val="Grid Table 6 Colorful - Accent 6"/>
    <w:basedOn w:val="917"/>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95">
    <w:name w:val="Grid Table 7 Colorful"/>
    <w:basedOn w:val="917"/>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Grid Table 7 Colorful - Accent 1"/>
    <w:basedOn w:val="917"/>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7 Colorful - Accent 2"/>
    <w:basedOn w:val="917"/>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3"/>
    <w:basedOn w:val="917"/>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4"/>
    <w:basedOn w:val="917"/>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5"/>
    <w:basedOn w:val="917"/>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6"/>
    <w:basedOn w:val="917"/>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1 Light"/>
    <w:basedOn w:val="9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1 Light - Accent 1"/>
    <w:basedOn w:val="9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 Accent 2"/>
    <w:basedOn w:val="9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3"/>
    <w:basedOn w:val="9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4"/>
    <w:basedOn w:val="9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5"/>
    <w:basedOn w:val="9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6"/>
    <w:basedOn w:val="917"/>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2"/>
    <w:basedOn w:val="917"/>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2 - Accent 1"/>
    <w:basedOn w:val="917"/>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 Accent 2"/>
    <w:basedOn w:val="917"/>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3"/>
    <w:basedOn w:val="917"/>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4"/>
    <w:basedOn w:val="917"/>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5"/>
    <w:basedOn w:val="917"/>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6"/>
    <w:basedOn w:val="917"/>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3"/>
    <w:basedOn w:val="91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3 - Accent 1"/>
    <w:basedOn w:val="917"/>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 Accent 2"/>
    <w:basedOn w:val="917"/>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3"/>
    <w:basedOn w:val="917"/>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4"/>
    <w:basedOn w:val="917"/>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5"/>
    <w:basedOn w:val="917"/>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6"/>
    <w:basedOn w:val="917"/>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4"/>
    <w:basedOn w:val="917"/>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4 - Accent 1"/>
    <w:basedOn w:val="917"/>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 Accent 2"/>
    <w:basedOn w:val="917"/>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3"/>
    <w:basedOn w:val="917"/>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4"/>
    <w:basedOn w:val="917"/>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5"/>
    <w:basedOn w:val="917"/>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6"/>
    <w:basedOn w:val="917"/>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5 Dark"/>
    <w:basedOn w:val="917"/>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1">
    <w:name w:val="List Table 5 Dark - Accent 1"/>
    <w:basedOn w:val="917"/>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2">
    <w:name w:val="List Table 5 Dark - Accent 2"/>
    <w:basedOn w:val="917"/>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3">
    <w:name w:val="List Table 5 Dark - Accent 3"/>
    <w:basedOn w:val="917"/>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4">
    <w:name w:val="List Table 5 Dark - Accent 4"/>
    <w:basedOn w:val="917"/>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5">
    <w:name w:val="List Table 5 Dark - Accent 5"/>
    <w:basedOn w:val="917"/>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6">
    <w:name w:val="List Table 5 Dark - Accent 6"/>
    <w:basedOn w:val="917"/>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37">
    <w:name w:val="List Table 6 Colorful"/>
    <w:basedOn w:val="917"/>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st Table 6 Colorful - Accent 1"/>
    <w:basedOn w:val="917"/>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6 Colorful - Accent 2"/>
    <w:basedOn w:val="917"/>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3"/>
    <w:basedOn w:val="917"/>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4"/>
    <w:basedOn w:val="917"/>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5"/>
    <w:basedOn w:val="917"/>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6"/>
    <w:basedOn w:val="917"/>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7 Colorful"/>
    <w:basedOn w:val="917"/>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45">
    <w:name w:val="List Table 7 Colorful - Accent 1"/>
    <w:basedOn w:val="917"/>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846">
    <w:name w:val="List Table 7 Colorful - Accent 2"/>
    <w:basedOn w:val="917"/>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47">
    <w:name w:val="List Table 7 Colorful - Accent 3"/>
    <w:basedOn w:val="917"/>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48">
    <w:name w:val="List Table 7 Colorful - Accent 4"/>
    <w:basedOn w:val="917"/>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49">
    <w:name w:val="List Table 7 Colorful - Accent 5"/>
    <w:basedOn w:val="917"/>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850">
    <w:name w:val="List Table 7 Colorful - Accent 6"/>
    <w:basedOn w:val="917"/>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51">
    <w:name w:val="Lined - Accent"/>
    <w:basedOn w:val="9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Lined - Accent 1"/>
    <w:basedOn w:val="9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ned - Accent 2"/>
    <w:basedOn w:val="9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3"/>
    <w:basedOn w:val="9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4"/>
    <w:basedOn w:val="9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5"/>
    <w:basedOn w:val="9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6"/>
    <w:basedOn w:val="917"/>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Bordered &amp; Lined - Accent"/>
    <w:basedOn w:val="917"/>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amp; Lined - Accent 1"/>
    <w:basedOn w:val="917"/>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2"/>
    <w:basedOn w:val="917"/>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3"/>
    <w:basedOn w:val="917"/>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4"/>
    <w:basedOn w:val="917"/>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5"/>
    <w:basedOn w:val="917"/>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6"/>
    <w:basedOn w:val="917"/>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w:basedOn w:val="917"/>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 Accent 1"/>
    <w:basedOn w:val="917"/>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 Accent 2"/>
    <w:basedOn w:val="917"/>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3"/>
    <w:basedOn w:val="917"/>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4"/>
    <w:basedOn w:val="917"/>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5"/>
    <w:basedOn w:val="917"/>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6"/>
    <w:basedOn w:val="917"/>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72">
    <w:name w:val="Title"/>
    <w:basedOn w:val="906"/>
    <w:next w:val="906"/>
    <w:link w:val="873"/>
    <w:uiPriority w:val="10"/>
    <w:qFormat/>
    <w:pPr>
      <w:pBdr/>
      <w:spacing w:after="80" w:line="240" w:lineRule="auto"/>
      <w:ind/>
      <w:contextualSpacing w:val="true"/>
    </w:pPr>
    <w:rPr>
      <w:rFonts w:ascii="Arial" w:hAnsi="Arial" w:eastAsia="Arial" w:cs="Arial"/>
      <w:spacing w:val="-10"/>
      <w:sz w:val="56"/>
      <w:szCs w:val="56"/>
    </w:rPr>
  </w:style>
  <w:style w:type="character" w:styleId="873">
    <w:name w:val="Title Char"/>
    <w:basedOn w:val="916"/>
    <w:link w:val="872"/>
    <w:uiPriority w:val="10"/>
    <w:pPr>
      <w:pBdr/>
      <w:spacing/>
      <w:ind/>
    </w:pPr>
    <w:rPr>
      <w:rFonts w:ascii="Arial" w:hAnsi="Arial" w:eastAsia="Arial" w:cs="Arial"/>
      <w:spacing w:val="-10"/>
      <w:sz w:val="56"/>
      <w:szCs w:val="56"/>
    </w:rPr>
  </w:style>
  <w:style w:type="paragraph" w:styleId="874">
    <w:name w:val="Subtitle"/>
    <w:basedOn w:val="906"/>
    <w:next w:val="906"/>
    <w:link w:val="875"/>
    <w:uiPriority w:val="11"/>
    <w:qFormat/>
    <w:pPr>
      <w:numPr>
        <w:ilvl w:val="1"/>
      </w:numPr>
      <w:pBdr/>
      <w:spacing/>
      <w:ind/>
    </w:pPr>
    <w:rPr>
      <w:color w:val="595959" w:themeColor="text1" w:themeTint="A6"/>
      <w:spacing w:val="15"/>
      <w:sz w:val="28"/>
      <w:szCs w:val="28"/>
    </w:rPr>
  </w:style>
  <w:style w:type="character" w:styleId="875">
    <w:name w:val="Subtitle Char"/>
    <w:basedOn w:val="916"/>
    <w:link w:val="874"/>
    <w:uiPriority w:val="11"/>
    <w:pPr>
      <w:pBdr/>
      <w:spacing/>
      <w:ind/>
    </w:pPr>
    <w:rPr>
      <w:color w:val="595959" w:themeColor="text1" w:themeTint="A6"/>
      <w:spacing w:val="15"/>
      <w:sz w:val="28"/>
      <w:szCs w:val="28"/>
    </w:rPr>
  </w:style>
  <w:style w:type="paragraph" w:styleId="876">
    <w:name w:val="Quote"/>
    <w:basedOn w:val="906"/>
    <w:next w:val="906"/>
    <w:link w:val="877"/>
    <w:uiPriority w:val="29"/>
    <w:qFormat/>
    <w:pPr>
      <w:pBdr/>
      <w:spacing w:before="160"/>
      <w:ind/>
      <w:jc w:val="center"/>
    </w:pPr>
    <w:rPr>
      <w:i/>
      <w:iCs/>
      <w:color w:val="404040" w:themeColor="text1" w:themeTint="BF"/>
    </w:rPr>
  </w:style>
  <w:style w:type="character" w:styleId="877">
    <w:name w:val="Quote Char"/>
    <w:basedOn w:val="916"/>
    <w:link w:val="876"/>
    <w:uiPriority w:val="29"/>
    <w:pPr>
      <w:pBdr/>
      <w:spacing/>
      <w:ind/>
    </w:pPr>
    <w:rPr>
      <w:i/>
      <w:iCs/>
      <w:color w:val="404040" w:themeColor="text1" w:themeTint="BF"/>
    </w:rPr>
  </w:style>
  <w:style w:type="character" w:styleId="878">
    <w:name w:val="Intense Emphasis"/>
    <w:basedOn w:val="916"/>
    <w:uiPriority w:val="21"/>
    <w:qFormat/>
    <w:pPr>
      <w:pBdr/>
      <w:spacing/>
      <w:ind/>
    </w:pPr>
    <w:rPr>
      <w:i/>
      <w:iCs/>
      <w:color w:val="0f4761" w:themeColor="accent1" w:themeShade="BF"/>
    </w:rPr>
  </w:style>
  <w:style w:type="paragraph" w:styleId="879">
    <w:name w:val="Intense Quote"/>
    <w:basedOn w:val="906"/>
    <w:next w:val="906"/>
    <w:link w:val="88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80">
    <w:name w:val="Intense Quote Char"/>
    <w:basedOn w:val="916"/>
    <w:link w:val="879"/>
    <w:uiPriority w:val="30"/>
    <w:pPr>
      <w:pBdr/>
      <w:spacing/>
      <w:ind/>
    </w:pPr>
    <w:rPr>
      <w:i/>
      <w:iCs/>
      <w:color w:val="0f4761" w:themeColor="accent1" w:themeShade="BF"/>
    </w:rPr>
  </w:style>
  <w:style w:type="character" w:styleId="881">
    <w:name w:val="Intense Reference"/>
    <w:basedOn w:val="916"/>
    <w:uiPriority w:val="32"/>
    <w:qFormat/>
    <w:pPr>
      <w:pBdr/>
      <w:spacing/>
      <w:ind/>
    </w:pPr>
    <w:rPr>
      <w:b/>
      <w:bCs/>
      <w:smallCaps/>
      <w:color w:val="0f4761" w:themeColor="accent1" w:themeShade="BF"/>
      <w:spacing w:val="5"/>
    </w:rPr>
  </w:style>
  <w:style w:type="paragraph" w:styleId="882">
    <w:name w:val="No Spacing"/>
    <w:basedOn w:val="906"/>
    <w:uiPriority w:val="1"/>
    <w:qFormat/>
    <w:pPr>
      <w:pBdr/>
      <w:spacing w:after="0" w:line="240" w:lineRule="auto"/>
      <w:ind/>
    </w:pPr>
  </w:style>
  <w:style w:type="character" w:styleId="883">
    <w:name w:val="Subtle Emphasis"/>
    <w:basedOn w:val="916"/>
    <w:uiPriority w:val="19"/>
    <w:qFormat/>
    <w:pPr>
      <w:pBdr/>
      <w:spacing/>
      <w:ind/>
    </w:pPr>
    <w:rPr>
      <w:i/>
      <w:iCs/>
      <w:color w:val="404040" w:themeColor="text1" w:themeTint="BF"/>
    </w:rPr>
  </w:style>
  <w:style w:type="character" w:styleId="884">
    <w:name w:val="Emphasis"/>
    <w:basedOn w:val="916"/>
    <w:uiPriority w:val="20"/>
    <w:qFormat/>
    <w:pPr>
      <w:pBdr/>
      <w:spacing/>
      <w:ind/>
    </w:pPr>
    <w:rPr>
      <w:i/>
      <w:iCs/>
    </w:rPr>
  </w:style>
  <w:style w:type="character" w:styleId="885">
    <w:name w:val="Strong"/>
    <w:basedOn w:val="916"/>
    <w:uiPriority w:val="22"/>
    <w:qFormat/>
    <w:pPr>
      <w:pBdr/>
      <w:spacing/>
      <w:ind/>
    </w:pPr>
    <w:rPr>
      <w:b/>
      <w:bCs/>
    </w:rPr>
  </w:style>
  <w:style w:type="character" w:styleId="886">
    <w:name w:val="Subtle Reference"/>
    <w:basedOn w:val="916"/>
    <w:uiPriority w:val="31"/>
    <w:qFormat/>
    <w:pPr>
      <w:pBdr/>
      <w:spacing/>
      <w:ind/>
    </w:pPr>
    <w:rPr>
      <w:smallCaps/>
      <w:color w:val="5a5a5a" w:themeColor="text1" w:themeTint="A5"/>
    </w:rPr>
  </w:style>
  <w:style w:type="character" w:styleId="887">
    <w:name w:val="Book Title"/>
    <w:basedOn w:val="916"/>
    <w:uiPriority w:val="33"/>
    <w:qFormat/>
    <w:pPr>
      <w:pBdr/>
      <w:spacing/>
      <w:ind/>
    </w:pPr>
    <w:rPr>
      <w:b/>
      <w:bCs/>
      <w:i/>
      <w:iCs/>
      <w:spacing w:val="5"/>
    </w:rPr>
  </w:style>
  <w:style w:type="paragraph" w:styleId="888">
    <w:name w:val="Caption"/>
    <w:basedOn w:val="906"/>
    <w:next w:val="906"/>
    <w:uiPriority w:val="35"/>
    <w:unhideWhenUsed/>
    <w:qFormat/>
    <w:pPr>
      <w:pBdr/>
      <w:spacing w:after="200" w:line="240" w:lineRule="auto"/>
      <w:ind/>
    </w:pPr>
    <w:rPr>
      <w:i/>
      <w:iCs/>
      <w:color w:val="0e2841" w:themeColor="text2"/>
      <w:sz w:val="18"/>
      <w:szCs w:val="18"/>
    </w:rPr>
  </w:style>
  <w:style w:type="paragraph" w:styleId="889">
    <w:name w:val="footnote text"/>
    <w:basedOn w:val="906"/>
    <w:link w:val="890"/>
    <w:uiPriority w:val="99"/>
    <w:semiHidden/>
    <w:unhideWhenUsed/>
    <w:pPr>
      <w:pBdr/>
      <w:spacing w:after="0" w:line="240" w:lineRule="auto"/>
      <w:ind/>
    </w:pPr>
    <w:rPr>
      <w:sz w:val="20"/>
      <w:szCs w:val="20"/>
    </w:rPr>
  </w:style>
  <w:style w:type="character" w:styleId="890">
    <w:name w:val="Footnote Text Char"/>
    <w:basedOn w:val="916"/>
    <w:link w:val="889"/>
    <w:uiPriority w:val="99"/>
    <w:semiHidden/>
    <w:pPr>
      <w:pBdr/>
      <w:spacing/>
      <w:ind/>
    </w:pPr>
    <w:rPr>
      <w:sz w:val="20"/>
      <w:szCs w:val="20"/>
    </w:rPr>
  </w:style>
  <w:style w:type="character" w:styleId="891">
    <w:name w:val="footnote reference"/>
    <w:basedOn w:val="916"/>
    <w:uiPriority w:val="99"/>
    <w:semiHidden/>
    <w:unhideWhenUsed/>
    <w:pPr>
      <w:pBdr/>
      <w:spacing/>
      <w:ind/>
    </w:pPr>
    <w:rPr>
      <w:vertAlign w:val="superscript"/>
    </w:rPr>
  </w:style>
  <w:style w:type="paragraph" w:styleId="892">
    <w:name w:val="endnote text"/>
    <w:basedOn w:val="906"/>
    <w:link w:val="893"/>
    <w:uiPriority w:val="99"/>
    <w:semiHidden/>
    <w:unhideWhenUsed/>
    <w:pPr>
      <w:pBdr/>
      <w:spacing w:after="0" w:line="240" w:lineRule="auto"/>
      <w:ind/>
    </w:pPr>
    <w:rPr>
      <w:sz w:val="20"/>
      <w:szCs w:val="20"/>
    </w:rPr>
  </w:style>
  <w:style w:type="character" w:styleId="893">
    <w:name w:val="Endnote Text Char"/>
    <w:basedOn w:val="916"/>
    <w:link w:val="892"/>
    <w:uiPriority w:val="99"/>
    <w:semiHidden/>
    <w:pPr>
      <w:pBdr/>
      <w:spacing/>
      <w:ind/>
    </w:pPr>
    <w:rPr>
      <w:sz w:val="20"/>
      <w:szCs w:val="20"/>
    </w:rPr>
  </w:style>
  <w:style w:type="character" w:styleId="894">
    <w:name w:val="endnote reference"/>
    <w:basedOn w:val="916"/>
    <w:uiPriority w:val="99"/>
    <w:semiHidden/>
    <w:unhideWhenUsed/>
    <w:pPr>
      <w:pBdr/>
      <w:spacing/>
      <w:ind/>
    </w:pPr>
    <w:rPr>
      <w:vertAlign w:val="superscript"/>
    </w:rPr>
  </w:style>
  <w:style w:type="paragraph" w:styleId="895">
    <w:name w:val="toc 1"/>
    <w:basedOn w:val="906"/>
    <w:next w:val="906"/>
    <w:uiPriority w:val="39"/>
    <w:unhideWhenUsed/>
    <w:pPr>
      <w:pBdr/>
      <w:spacing w:after="100"/>
      <w:ind/>
    </w:pPr>
  </w:style>
  <w:style w:type="paragraph" w:styleId="896">
    <w:name w:val="toc 2"/>
    <w:basedOn w:val="906"/>
    <w:next w:val="906"/>
    <w:uiPriority w:val="39"/>
    <w:unhideWhenUsed/>
    <w:pPr>
      <w:pBdr/>
      <w:spacing w:after="100"/>
      <w:ind w:left="220"/>
    </w:pPr>
  </w:style>
  <w:style w:type="paragraph" w:styleId="897">
    <w:name w:val="toc 3"/>
    <w:basedOn w:val="906"/>
    <w:next w:val="906"/>
    <w:uiPriority w:val="39"/>
    <w:unhideWhenUsed/>
    <w:pPr>
      <w:pBdr/>
      <w:spacing w:after="100"/>
      <w:ind w:left="440"/>
    </w:pPr>
  </w:style>
  <w:style w:type="paragraph" w:styleId="898">
    <w:name w:val="toc 4"/>
    <w:basedOn w:val="906"/>
    <w:next w:val="906"/>
    <w:uiPriority w:val="39"/>
    <w:unhideWhenUsed/>
    <w:pPr>
      <w:pBdr/>
      <w:spacing w:after="100"/>
      <w:ind w:left="660"/>
    </w:pPr>
  </w:style>
  <w:style w:type="paragraph" w:styleId="899">
    <w:name w:val="toc 5"/>
    <w:basedOn w:val="906"/>
    <w:next w:val="906"/>
    <w:uiPriority w:val="39"/>
    <w:unhideWhenUsed/>
    <w:pPr>
      <w:pBdr/>
      <w:spacing w:after="100"/>
      <w:ind w:left="880"/>
    </w:pPr>
  </w:style>
  <w:style w:type="paragraph" w:styleId="900">
    <w:name w:val="toc 6"/>
    <w:basedOn w:val="906"/>
    <w:next w:val="906"/>
    <w:uiPriority w:val="39"/>
    <w:unhideWhenUsed/>
    <w:pPr>
      <w:pBdr/>
      <w:spacing w:after="100"/>
      <w:ind w:left="1100"/>
    </w:pPr>
  </w:style>
  <w:style w:type="paragraph" w:styleId="901">
    <w:name w:val="toc 7"/>
    <w:basedOn w:val="906"/>
    <w:next w:val="906"/>
    <w:uiPriority w:val="39"/>
    <w:unhideWhenUsed/>
    <w:pPr>
      <w:pBdr/>
      <w:spacing w:after="100"/>
      <w:ind w:left="1320"/>
    </w:pPr>
  </w:style>
  <w:style w:type="paragraph" w:styleId="902">
    <w:name w:val="toc 8"/>
    <w:basedOn w:val="906"/>
    <w:next w:val="906"/>
    <w:uiPriority w:val="39"/>
    <w:unhideWhenUsed/>
    <w:pPr>
      <w:pBdr/>
      <w:spacing w:after="100"/>
      <w:ind w:left="1540"/>
    </w:pPr>
  </w:style>
  <w:style w:type="paragraph" w:styleId="903">
    <w:name w:val="toc 9"/>
    <w:basedOn w:val="906"/>
    <w:next w:val="906"/>
    <w:uiPriority w:val="39"/>
    <w:unhideWhenUsed/>
    <w:pPr>
      <w:pBdr/>
      <w:spacing w:after="100"/>
      <w:ind w:left="1760"/>
    </w:pPr>
  </w:style>
  <w:style w:type="paragraph" w:styleId="904">
    <w:name w:val="TOC Heading"/>
    <w:uiPriority w:val="39"/>
    <w:unhideWhenUsed/>
    <w:pPr>
      <w:pBdr/>
      <w:spacing/>
      <w:ind/>
    </w:pPr>
  </w:style>
  <w:style w:type="paragraph" w:styleId="905">
    <w:name w:val="table of figures"/>
    <w:basedOn w:val="906"/>
    <w:next w:val="906"/>
    <w:uiPriority w:val="99"/>
    <w:unhideWhenUsed/>
    <w:pPr>
      <w:pBdr/>
      <w:spacing w:after="0" w:afterAutospacing="0"/>
      <w:ind/>
    </w:pPr>
  </w:style>
  <w:style w:type="paragraph" w:styleId="906" w:default="1">
    <w:name w:val="Normal"/>
    <w:qFormat/>
    <w:pPr>
      <w:pBdr/>
      <w:spacing w:after="0" w:line="360" w:lineRule="auto"/>
      <w:ind w:firstLine="709"/>
      <w:jc w:val="both"/>
    </w:pPr>
    <w:rPr>
      <w:rFonts w:ascii="Times New Roman" w:hAnsi="Times New Roman" w:cs="Times New Roman"/>
      <w:sz w:val="24"/>
      <w:szCs w:val="24"/>
    </w:rPr>
  </w:style>
  <w:style w:type="paragraph" w:styleId="907">
    <w:name w:val="Heading 1"/>
    <w:basedOn w:val="906"/>
    <w:next w:val="906"/>
    <w:link w:val="926"/>
    <w:uiPriority w:val="9"/>
    <w:qFormat/>
    <w:pPr>
      <w:keepNext w:val="true"/>
      <w:keepLines w:val="true"/>
      <w:numPr>
        <w:numId w:val="6"/>
      </w:numPr>
      <w:pBdr/>
      <w:tabs>
        <w:tab w:val="left" w:leader="none" w:pos="896"/>
      </w:tabs>
      <w:spacing w:before="240"/>
      <w:ind w:firstLine="709" w:left="0"/>
      <w:outlineLvl w:val="0"/>
    </w:pPr>
    <w:rPr>
      <w:rFonts w:eastAsiaTheme="majorEastAsia"/>
      <w:b/>
      <w:bCs/>
    </w:rPr>
  </w:style>
  <w:style w:type="paragraph" w:styleId="908">
    <w:name w:val="Heading 2"/>
    <w:basedOn w:val="907"/>
    <w:next w:val="906"/>
    <w:link w:val="927"/>
    <w:uiPriority w:val="9"/>
    <w:unhideWhenUsed/>
    <w:qFormat/>
    <w:pPr>
      <w:numPr>
        <w:ilvl w:val="1"/>
      </w:numPr>
      <w:pBdr/>
      <w:tabs>
        <w:tab w:val="clear" w:leader="none" w:pos="896"/>
        <w:tab w:val="left" w:leader="none" w:pos="1092"/>
      </w:tabs>
      <w:spacing w:before="0"/>
      <w:ind w:firstLine="709" w:left="0"/>
      <w:outlineLvl w:val="1"/>
    </w:pPr>
    <w:rPr>
      <w:rFonts w:cstheme="majorBidi"/>
      <w:szCs w:val="26"/>
    </w:rPr>
  </w:style>
  <w:style w:type="paragraph" w:styleId="909">
    <w:name w:val="Heading 3"/>
    <w:basedOn w:val="908"/>
    <w:next w:val="906"/>
    <w:link w:val="928"/>
    <w:uiPriority w:val="9"/>
    <w:unhideWhenUsed/>
    <w:qFormat/>
    <w:pPr>
      <w:numPr>
        <w:ilvl w:val="2"/>
      </w:numPr>
      <w:pBdr/>
      <w:tabs>
        <w:tab w:val="clear" w:leader="none" w:pos="1092"/>
        <w:tab w:val="left" w:leader="none" w:pos="1276"/>
      </w:tabs>
      <w:spacing/>
      <w:ind w:firstLine="709" w:left="0"/>
      <w:outlineLvl w:val="2"/>
    </w:pPr>
    <w:rPr>
      <w:b w:val="0"/>
      <w:bCs w:val="0"/>
    </w:rPr>
  </w:style>
  <w:style w:type="paragraph" w:styleId="910">
    <w:name w:val="Heading 4"/>
    <w:basedOn w:val="909"/>
    <w:next w:val="906"/>
    <w:link w:val="929"/>
    <w:uiPriority w:val="9"/>
    <w:unhideWhenUsed/>
    <w:qFormat/>
    <w:pPr>
      <w:numPr>
        <w:ilvl w:val="3"/>
      </w:numPr>
      <w:pBdr/>
      <w:tabs>
        <w:tab w:val="clear" w:leader="none" w:pos="1276"/>
        <w:tab w:val="left" w:leader="none" w:pos="1484"/>
      </w:tabs>
      <w:spacing/>
      <w:ind w:firstLine="709" w:left="0"/>
      <w:outlineLvl w:val="3"/>
    </w:pPr>
    <w:rPr>
      <w:bCs/>
      <w:iCs/>
    </w:rPr>
  </w:style>
  <w:style w:type="paragraph" w:styleId="911">
    <w:name w:val="Heading 5"/>
    <w:basedOn w:val="906"/>
    <w:next w:val="906"/>
    <w:link w:val="930"/>
    <w:uiPriority w:val="9"/>
    <w:semiHidden/>
    <w:unhideWhenUsed/>
    <w:pPr>
      <w:keepNext w:val="true"/>
      <w:keepLines w:val="true"/>
      <w:numPr>
        <w:ilvl w:val="4"/>
        <w:numId w:val="6"/>
      </w:numPr>
      <w:pBdr/>
      <w:spacing w:before="40"/>
      <w:ind/>
      <w:outlineLvl w:val="4"/>
    </w:pPr>
    <w:rPr>
      <w:rFonts w:asciiTheme="majorHAnsi" w:hAnsiTheme="majorHAnsi" w:eastAsiaTheme="majorEastAsia" w:cstheme="majorBidi"/>
      <w:color w:val="2f5496" w:themeColor="accent1" w:themeShade="BF"/>
    </w:rPr>
  </w:style>
  <w:style w:type="paragraph" w:styleId="912">
    <w:name w:val="Heading 6"/>
    <w:basedOn w:val="906"/>
    <w:next w:val="906"/>
    <w:link w:val="931"/>
    <w:uiPriority w:val="9"/>
    <w:semiHidden/>
    <w:unhideWhenUsed/>
    <w:qFormat/>
    <w:pPr>
      <w:keepNext w:val="true"/>
      <w:keepLines w:val="true"/>
      <w:numPr>
        <w:ilvl w:val="5"/>
        <w:numId w:val="6"/>
      </w:numPr>
      <w:pBdr/>
      <w:spacing w:before="40"/>
      <w:ind/>
      <w:outlineLvl w:val="5"/>
    </w:pPr>
    <w:rPr>
      <w:rFonts w:asciiTheme="majorHAnsi" w:hAnsiTheme="majorHAnsi" w:eastAsiaTheme="majorEastAsia" w:cstheme="majorBidi"/>
      <w:color w:val="1f3763" w:themeColor="accent1" w:themeShade="7F"/>
    </w:rPr>
  </w:style>
  <w:style w:type="paragraph" w:styleId="913">
    <w:name w:val="Heading 7"/>
    <w:basedOn w:val="906"/>
    <w:next w:val="906"/>
    <w:link w:val="932"/>
    <w:uiPriority w:val="9"/>
    <w:semiHidden/>
    <w:unhideWhenUsed/>
    <w:qFormat/>
    <w:pPr>
      <w:keepNext w:val="true"/>
      <w:keepLines w:val="true"/>
      <w:numPr>
        <w:ilvl w:val="6"/>
        <w:numId w:val="6"/>
      </w:numPr>
      <w:pBdr/>
      <w:spacing w:before="40"/>
      <w:ind/>
      <w:outlineLvl w:val="6"/>
    </w:pPr>
    <w:rPr>
      <w:rFonts w:asciiTheme="majorHAnsi" w:hAnsiTheme="majorHAnsi" w:eastAsiaTheme="majorEastAsia" w:cstheme="majorBidi"/>
      <w:i/>
      <w:iCs/>
      <w:color w:val="1f3763" w:themeColor="accent1" w:themeShade="7F"/>
    </w:rPr>
  </w:style>
  <w:style w:type="paragraph" w:styleId="914">
    <w:name w:val="Heading 8"/>
    <w:basedOn w:val="906"/>
    <w:next w:val="906"/>
    <w:link w:val="933"/>
    <w:uiPriority w:val="9"/>
    <w:semiHidden/>
    <w:unhideWhenUsed/>
    <w:qFormat/>
    <w:pPr>
      <w:keepNext w:val="true"/>
      <w:keepLines w:val="true"/>
      <w:numPr>
        <w:ilvl w:val="7"/>
        <w:numId w:val="6"/>
      </w:numPr>
      <w:pBdr/>
      <w:spacing w:before="40"/>
      <w:ind/>
      <w:outlineLvl w:val="7"/>
    </w:pPr>
    <w:rPr>
      <w:rFonts w:asciiTheme="majorHAnsi" w:hAnsiTheme="majorHAnsi" w:eastAsiaTheme="majorEastAsia" w:cstheme="majorBidi"/>
      <w:color w:val="272727" w:themeColor="text1" w:themeTint="D8"/>
      <w:sz w:val="21"/>
      <w:szCs w:val="21"/>
    </w:rPr>
  </w:style>
  <w:style w:type="paragraph" w:styleId="915">
    <w:name w:val="Heading 9"/>
    <w:basedOn w:val="906"/>
    <w:next w:val="906"/>
    <w:link w:val="934"/>
    <w:uiPriority w:val="9"/>
    <w:semiHidden/>
    <w:unhideWhenUsed/>
    <w:qFormat/>
    <w:pPr>
      <w:keepNext w:val="true"/>
      <w:keepLines w:val="true"/>
      <w:numPr>
        <w:ilvl w:val="8"/>
        <w:numId w:val="6"/>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916" w:default="1">
    <w:name w:val="Default Paragraph Font"/>
    <w:uiPriority w:val="1"/>
    <w:semiHidden/>
    <w:unhideWhenUsed/>
    <w:pPr>
      <w:pBdr/>
      <w:spacing/>
      <w:ind/>
    </w:pPr>
  </w:style>
  <w:style w:type="table" w:styleId="917"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8" w:default="1">
    <w:name w:val="No List"/>
    <w:uiPriority w:val="99"/>
    <w:semiHidden/>
    <w:unhideWhenUsed/>
    <w:pPr>
      <w:pBdr/>
      <w:spacing/>
      <w:ind/>
    </w:pPr>
  </w:style>
  <w:style w:type="paragraph" w:styleId="919">
    <w:name w:val="Header"/>
    <w:basedOn w:val="906"/>
    <w:link w:val="920"/>
    <w:uiPriority w:val="99"/>
    <w:unhideWhenUsed/>
    <w:pPr>
      <w:pBdr/>
      <w:tabs>
        <w:tab w:val="center" w:leader="none" w:pos="4677"/>
        <w:tab w:val="right" w:leader="none" w:pos="9355"/>
      </w:tabs>
      <w:spacing w:line="240" w:lineRule="auto"/>
      <w:ind/>
    </w:pPr>
  </w:style>
  <w:style w:type="character" w:styleId="920" w:customStyle="1">
    <w:name w:val="Header Char"/>
    <w:basedOn w:val="916"/>
    <w:link w:val="919"/>
    <w:uiPriority w:val="99"/>
    <w:pPr>
      <w:pBdr/>
      <w:spacing/>
      <w:ind/>
    </w:pPr>
  </w:style>
  <w:style w:type="paragraph" w:styleId="921">
    <w:name w:val="Footer"/>
    <w:basedOn w:val="906"/>
    <w:link w:val="922"/>
    <w:uiPriority w:val="99"/>
    <w:unhideWhenUsed/>
    <w:pPr>
      <w:pBdr/>
      <w:tabs>
        <w:tab w:val="center" w:leader="none" w:pos="4677"/>
        <w:tab w:val="right" w:leader="none" w:pos="9355"/>
      </w:tabs>
      <w:spacing w:line="240" w:lineRule="auto"/>
      <w:ind/>
      <w:jc w:val="center"/>
    </w:pPr>
  </w:style>
  <w:style w:type="character" w:styleId="922" w:customStyle="1">
    <w:name w:val="Footer Char"/>
    <w:basedOn w:val="916"/>
    <w:link w:val="921"/>
    <w:uiPriority w:val="99"/>
    <w:pPr>
      <w:pBdr/>
      <w:spacing/>
      <w:ind/>
    </w:pPr>
    <w:rPr>
      <w:rFonts w:ascii="Times New Roman" w:hAnsi="Times New Roman" w:cs="Times New Roman"/>
      <w:sz w:val="24"/>
      <w:szCs w:val="24"/>
    </w:rPr>
  </w:style>
  <w:style w:type="paragraph" w:styleId="923">
    <w:name w:val="List Paragraph"/>
    <w:basedOn w:val="906"/>
    <w:uiPriority w:val="34"/>
    <w:qFormat/>
    <w:pPr>
      <w:numPr>
        <w:numId w:val="1"/>
      </w:numPr>
      <w:pBdr/>
      <w:tabs>
        <w:tab w:val="left" w:leader="none" w:pos="993"/>
      </w:tabs>
      <w:spacing/>
      <w:ind w:firstLine="709" w:left="0"/>
      <w:contextualSpacing w:val="true"/>
    </w:pPr>
    <w:rPr>
      <w:lang w:val="en-US"/>
    </w:rPr>
  </w:style>
  <w:style w:type="paragraph" w:styleId="924" w:customStyle="1">
    <w:name w:val="Letter List Paragraph"/>
    <w:basedOn w:val="923"/>
    <w:qFormat/>
    <w:pPr>
      <w:numPr>
        <w:numId w:val="2"/>
      </w:numPr>
      <w:pBdr/>
      <w:spacing/>
      <w:ind w:firstLine="709" w:left="0"/>
      <w:contextualSpacing w:val="false"/>
    </w:pPr>
  </w:style>
  <w:style w:type="paragraph" w:styleId="925" w:customStyle="1">
    <w:name w:val="Number List Paragraph"/>
    <w:basedOn w:val="924"/>
    <w:qFormat/>
    <w:pPr>
      <w:numPr>
        <w:numId w:val="5"/>
      </w:numPr>
      <w:pBdr/>
      <w:spacing/>
      <w:ind w:firstLine="709" w:left="0"/>
    </w:pPr>
  </w:style>
  <w:style w:type="character" w:styleId="926" w:customStyle="1">
    <w:name w:val="Heading 1 Char"/>
    <w:basedOn w:val="916"/>
    <w:link w:val="907"/>
    <w:uiPriority w:val="9"/>
    <w:pPr>
      <w:pBdr/>
      <w:spacing/>
      <w:ind/>
    </w:pPr>
    <w:rPr>
      <w:rFonts w:ascii="Times New Roman" w:hAnsi="Times New Roman" w:cs="Times New Roman" w:eastAsiaTheme="majorEastAsia"/>
      <w:b/>
      <w:bCs/>
      <w:sz w:val="24"/>
      <w:szCs w:val="24"/>
    </w:rPr>
  </w:style>
  <w:style w:type="character" w:styleId="927" w:customStyle="1">
    <w:name w:val="Heading 2 Char"/>
    <w:basedOn w:val="916"/>
    <w:link w:val="908"/>
    <w:uiPriority w:val="9"/>
    <w:pPr>
      <w:pBdr/>
      <w:spacing/>
      <w:ind/>
    </w:pPr>
    <w:rPr>
      <w:rFonts w:ascii="Times New Roman" w:hAnsi="Times New Roman" w:eastAsiaTheme="majorEastAsia" w:cstheme="majorBidi"/>
      <w:b/>
      <w:bCs/>
      <w:sz w:val="24"/>
      <w:szCs w:val="26"/>
    </w:rPr>
  </w:style>
  <w:style w:type="character" w:styleId="928" w:customStyle="1">
    <w:name w:val="Heading 3 Char"/>
    <w:basedOn w:val="916"/>
    <w:link w:val="909"/>
    <w:uiPriority w:val="9"/>
    <w:pPr>
      <w:pBdr/>
      <w:spacing/>
      <w:ind/>
    </w:pPr>
    <w:rPr>
      <w:rFonts w:ascii="Times New Roman" w:hAnsi="Times New Roman" w:eastAsiaTheme="majorEastAsia" w:cstheme="majorBidi"/>
      <w:sz w:val="24"/>
      <w:szCs w:val="26"/>
    </w:rPr>
  </w:style>
  <w:style w:type="character" w:styleId="929" w:customStyle="1">
    <w:name w:val="Heading 4 Char"/>
    <w:basedOn w:val="916"/>
    <w:link w:val="910"/>
    <w:uiPriority w:val="9"/>
    <w:pPr>
      <w:pBdr/>
      <w:spacing/>
      <w:ind/>
    </w:pPr>
    <w:rPr>
      <w:rFonts w:ascii="Times New Roman" w:hAnsi="Times New Roman" w:eastAsiaTheme="majorEastAsia" w:cstheme="majorBidi"/>
      <w:bCs/>
      <w:iCs/>
      <w:sz w:val="24"/>
      <w:szCs w:val="26"/>
    </w:rPr>
  </w:style>
  <w:style w:type="character" w:styleId="930" w:customStyle="1">
    <w:name w:val="Heading 5 Char"/>
    <w:basedOn w:val="916"/>
    <w:link w:val="911"/>
    <w:uiPriority w:val="9"/>
    <w:semiHidden/>
    <w:pPr>
      <w:pBdr/>
      <w:spacing/>
      <w:ind/>
    </w:pPr>
    <w:rPr>
      <w:rFonts w:asciiTheme="majorHAnsi" w:hAnsiTheme="majorHAnsi" w:eastAsiaTheme="majorEastAsia" w:cstheme="majorBidi"/>
      <w:color w:val="2f5496" w:themeColor="accent1" w:themeShade="BF"/>
      <w:sz w:val="24"/>
      <w:szCs w:val="24"/>
    </w:rPr>
  </w:style>
  <w:style w:type="character" w:styleId="931" w:customStyle="1">
    <w:name w:val="Heading 6 Char"/>
    <w:basedOn w:val="916"/>
    <w:link w:val="912"/>
    <w:uiPriority w:val="9"/>
    <w:semiHidden/>
    <w:pPr>
      <w:pBdr/>
      <w:spacing/>
      <w:ind/>
    </w:pPr>
    <w:rPr>
      <w:rFonts w:asciiTheme="majorHAnsi" w:hAnsiTheme="majorHAnsi" w:eastAsiaTheme="majorEastAsia" w:cstheme="majorBidi"/>
      <w:color w:val="1f3763" w:themeColor="accent1" w:themeShade="7F"/>
      <w:sz w:val="24"/>
      <w:szCs w:val="24"/>
    </w:rPr>
  </w:style>
  <w:style w:type="character" w:styleId="932" w:customStyle="1">
    <w:name w:val="Heading 7 Char"/>
    <w:basedOn w:val="916"/>
    <w:link w:val="913"/>
    <w:uiPriority w:val="9"/>
    <w:semiHidden/>
    <w:pPr>
      <w:pBdr/>
      <w:spacing/>
      <w:ind/>
    </w:pPr>
    <w:rPr>
      <w:rFonts w:asciiTheme="majorHAnsi" w:hAnsiTheme="majorHAnsi" w:eastAsiaTheme="majorEastAsia" w:cstheme="majorBidi"/>
      <w:i/>
      <w:iCs/>
      <w:color w:val="1f3763" w:themeColor="accent1" w:themeShade="7F"/>
      <w:sz w:val="24"/>
      <w:szCs w:val="24"/>
    </w:rPr>
  </w:style>
  <w:style w:type="character" w:styleId="933" w:customStyle="1">
    <w:name w:val="Heading 8 Char"/>
    <w:basedOn w:val="916"/>
    <w:link w:val="914"/>
    <w:uiPriority w:val="9"/>
    <w:semiHidden/>
    <w:pPr>
      <w:pBdr/>
      <w:spacing/>
      <w:ind/>
    </w:pPr>
    <w:rPr>
      <w:rFonts w:asciiTheme="majorHAnsi" w:hAnsiTheme="majorHAnsi" w:eastAsiaTheme="majorEastAsia" w:cstheme="majorBidi"/>
      <w:color w:val="272727" w:themeColor="text1" w:themeTint="D8"/>
      <w:sz w:val="21"/>
      <w:szCs w:val="21"/>
    </w:rPr>
  </w:style>
  <w:style w:type="character" w:styleId="934" w:customStyle="1">
    <w:name w:val="Heading 9 Char"/>
    <w:basedOn w:val="916"/>
    <w:link w:val="915"/>
    <w:uiPriority w:val="9"/>
    <w:semiHidden/>
    <w:pPr>
      <w:pBdr/>
      <w:spacing/>
      <w:ind/>
    </w:pPr>
    <w:rPr>
      <w:rFonts w:asciiTheme="majorHAnsi" w:hAnsiTheme="majorHAnsi" w:eastAsiaTheme="majorEastAsia" w:cstheme="majorBidi"/>
      <w:i/>
      <w:iCs/>
      <w:color w:val="272727" w:themeColor="text1" w:themeTint="D8"/>
      <w:sz w:val="21"/>
      <w:szCs w:val="21"/>
    </w:rPr>
  </w:style>
  <w:style w:type="paragraph" w:styleId="935" w:customStyle="1">
    <w:name w:val="Example Number"/>
    <w:basedOn w:val="923"/>
    <w:next w:val="936"/>
    <w:qFormat/>
    <w:pPr>
      <w:numPr>
        <w:numId w:val="7"/>
      </w:numPr>
      <w:pBdr/>
      <w:tabs>
        <w:tab w:val="clear" w:leader="none" w:pos="993"/>
      </w:tabs>
      <w:spacing/>
      <w:ind w:hanging="720"/>
    </w:pPr>
  </w:style>
  <w:style w:type="paragraph" w:styleId="936" w:customStyle="1">
    <w:name w:val="Example Text"/>
    <w:basedOn w:val="906"/>
    <w:next w:val="906"/>
    <w:qFormat/>
    <w:pPr>
      <w:pBdr/>
      <w:spacing/>
      <w:ind/>
    </w:pPr>
    <w:rPr>
      <w:i/>
    </w:rPr>
  </w:style>
  <w:style w:type="paragraph" w:styleId="937" w:customStyle="1">
    <w:name w:val="Table Title"/>
    <w:basedOn w:val="906"/>
    <w:next w:val="906"/>
    <w:qFormat/>
    <w:pPr>
      <w:pBdr/>
      <w:spacing w:before="240" w:line="240" w:lineRule="auto"/>
      <w:ind w:firstLine="0"/>
    </w:pPr>
    <w:rPr>
      <w:lang w:val="en-US"/>
    </w:rPr>
  </w:style>
  <w:style w:type="table" w:styleId="938" w:customStyle="1">
    <w:name w:val="Table Grid"/>
    <w:pPr>
      <w:pBdr/>
      <w:spacing w:after="0" w:line="240" w:lineRule="auto"/>
      <w:ind/>
    </w:pPr>
    <w:rPr>
      <w:lang w:val="en-US" w:eastAsia="en-US"/>
      <w14:ligatures w14:val="none"/>
    </w:rPr>
    <w:tblPr>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39" w:customStyle="1">
    <w:name w:val="msh_Normal"/>
    <w:basedOn w:val="906"/>
    <w:qFormat/>
    <w:pPr>
      <w:pBdr/>
      <w:spacing w:line="240" w:lineRule="exact"/>
      <w:ind w:firstLine="284"/>
    </w:pPr>
    <w:rPr>
      <w:rFonts w:eastAsia="Times New Roman"/>
      <w:sz w:val="20"/>
      <w:szCs w:val="20"/>
      <w:lang w:eastAsia="ja-JP"/>
      <w14:ligatures w14:val="none"/>
    </w:rPr>
  </w:style>
  <w:style w:type="paragraph" w:styleId="940" w:customStyle="1">
    <w:name w:val="Picture Title"/>
    <w:basedOn w:val="906"/>
    <w:next w:val="906"/>
    <w:qFormat/>
    <w:pPr>
      <w:pBdr/>
      <w:spacing w:line="240" w:lineRule="auto"/>
      <w:ind w:firstLine="0"/>
      <w:jc w:val="center"/>
    </w:pPr>
  </w:style>
  <w:style w:type="character" w:styleId="941">
    <w:name w:val="Hyperlink"/>
    <w:basedOn w:val="916"/>
    <w:uiPriority w:val="99"/>
    <w:unhideWhenUsed/>
    <w:pPr>
      <w:pBdr/>
      <w:spacing/>
      <w:ind/>
    </w:pPr>
    <w:rPr>
      <w:color w:val="0563c1" w:themeColor="hyperlink"/>
      <w:u w:val="single"/>
    </w:rPr>
  </w:style>
  <w:style w:type="character" w:styleId="942">
    <w:name w:val="Unresolved Mention"/>
    <w:basedOn w:val="916"/>
    <w:uiPriority w:val="99"/>
    <w:semiHidden/>
    <w:unhideWhenUsed/>
    <w:pPr>
      <w:pBdr/>
      <w:spacing/>
      <w:ind/>
    </w:pPr>
    <w:rPr>
      <w:color w:val="605e5c"/>
      <w:shd w:val="clear" w:color="auto" w:fill="e1dfdd"/>
    </w:rPr>
  </w:style>
  <w:style w:type="character" w:styleId="943">
    <w:name w:val="FollowedHyperlink"/>
    <w:basedOn w:val="916"/>
    <w:uiPriority w:val="99"/>
    <w:semiHidden/>
    <w:unhideWhenUsed/>
    <w:pPr>
      <w:pBdr/>
      <w:spacing/>
      <w:ind/>
    </w:pPr>
    <w:rPr>
      <w:color w:val="954f72" w:themeColor="followedHyperlink"/>
      <w:u w:val="single"/>
    </w:rPr>
  </w:style>
  <w:style w:type="paragraph" w:styleId="944" w:customStyle="1">
    <w:name w:val="Структурный раздел отчёта"/>
    <w:basedOn w:val="906"/>
    <w:next w:val="906"/>
    <w:qFormat/>
    <w:pPr>
      <w:pBdr/>
      <w:spacing/>
      <w:ind w:firstLine="0"/>
      <w:jc w:val="center"/>
    </w:pPr>
    <w:rPr>
      <w:caps/>
    </w:rPr>
  </w:style>
  <w:style w:type="paragraph" w:styleId="945">
    <w:name w:val="Bibliography"/>
    <w:basedOn w:val="906"/>
    <w:next w:val="906"/>
    <w:uiPriority w:val="37"/>
    <w:unhideWhenUsed/>
    <w:pPr>
      <w:pBdr/>
      <w:tabs>
        <w:tab w:val="left" w:leader="none" w:pos="264"/>
      </w:tabs>
      <w:spacing/>
      <w:ind w:hanging="266" w:left="266"/>
    </w:pPr>
  </w:style>
  <w:style w:type="paragraph" w:styleId="946" w:customStyle="1">
    <w:name w:val="Source Code"/>
    <w:basedOn w:val="906"/>
    <w:pPr>
      <w:pBdr/>
      <w:spacing/>
      <w:ind/>
    </w:pPr>
  </w:style>
  <w:style w:type="character" w:styleId="947" w:customStyle="1">
    <w:name w:val="KeywordTok"/>
    <w:pPr>
      <w:pBdr/>
      <w:spacing/>
      <w:ind/>
    </w:pPr>
    <w:rPr>
      <w:b/>
      <w:color w:val="007020"/>
    </w:rPr>
  </w:style>
  <w:style w:type="character" w:styleId="948" w:customStyle="1">
    <w:name w:val="DataTypeTok"/>
    <w:pPr>
      <w:pBdr/>
      <w:spacing/>
      <w:ind/>
    </w:pPr>
    <w:rPr>
      <w:color w:val="902000"/>
    </w:rPr>
  </w:style>
  <w:style w:type="character" w:styleId="949" w:customStyle="1">
    <w:name w:val="DecValTok"/>
    <w:pPr>
      <w:pBdr/>
      <w:spacing/>
      <w:ind/>
    </w:pPr>
    <w:rPr>
      <w:color w:val="40a070"/>
    </w:rPr>
  </w:style>
  <w:style w:type="character" w:styleId="950" w:customStyle="1">
    <w:name w:val="BaseNTok"/>
    <w:pPr>
      <w:pBdr/>
      <w:spacing/>
      <w:ind/>
    </w:pPr>
    <w:rPr>
      <w:color w:val="40a070"/>
    </w:rPr>
  </w:style>
  <w:style w:type="character" w:styleId="951" w:customStyle="1">
    <w:name w:val="FloatTok"/>
    <w:pPr>
      <w:pBdr/>
      <w:spacing/>
      <w:ind/>
    </w:pPr>
    <w:rPr>
      <w:color w:val="40a070"/>
    </w:rPr>
  </w:style>
  <w:style w:type="character" w:styleId="952" w:customStyle="1">
    <w:name w:val="ConstantTok"/>
    <w:pPr>
      <w:pBdr/>
      <w:spacing/>
      <w:ind/>
    </w:pPr>
    <w:rPr>
      <w:color w:val="880000"/>
    </w:rPr>
  </w:style>
  <w:style w:type="character" w:styleId="953" w:customStyle="1">
    <w:name w:val="CharTok"/>
    <w:pPr>
      <w:pBdr/>
      <w:spacing/>
      <w:ind/>
    </w:pPr>
    <w:rPr>
      <w:color w:val="4070a0"/>
    </w:rPr>
  </w:style>
  <w:style w:type="character" w:styleId="954" w:customStyle="1">
    <w:name w:val="SpecialCharTok"/>
    <w:pPr>
      <w:pBdr/>
      <w:spacing/>
      <w:ind/>
    </w:pPr>
    <w:rPr>
      <w:color w:val="4070a0"/>
    </w:rPr>
  </w:style>
  <w:style w:type="character" w:styleId="955" w:customStyle="1">
    <w:name w:val="StringTok"/>
    <w:pPr>
      <w:pBdr/>
      <w:spacing/>
      <w:ind/>
    </w:pPr>
    <w:rPr>
      <w:color w:val="4070a0"/>
    </w:rPr>
  </w:style>
  <w:style w:type="character" w:styleId="956" w:customStyle="1">
    <w:name w:val="VerbatimStringTok"/>
    <w:pPr>
      <w:pBdr/>
      <w:spacing/>
      <w:ind/>
    </w:pPr>
    <w:rPr>
      <w:color w:val="4070a0"/>
    </w:rPr>
  </w:style>
  <w:style w:type="character" w:styleId="957" w:customStyle="1">
    <w:name w:val="SpecialStringTok"/>
    <w:pPr>
      <w:pBdr/>
      <w:spacing/>
      <w:ind/>
    </w:pPr>
    <w:rPr>
      <w:color w:val="bb6688"/>
    </w:rPr>
  </w:style>
  <w:style w:type="character" w:styleId="958" w:customStyle="1">
    <w:name w:val="ImportTok"/>
    <w:pPr>
      <w:pBdr/>
      <w:spacing/>
      <w:ind/>
    </w:pPr>
    <w:rPr>
      <w:b/>
      <w:color w:val="008000"/>
    </w:rPr>
  </w:style>
  <w:style w:type="character" w:styleId="959" w:customStyle="1">
    <w:name w:val="CommentTok"/>
    <w:pPr>
      <w:pBdr/>
      <w:spacing/>
      <w:ind/>
    </w:pPr>
    <w:rPr>
      <w:i/>
      <w:color w:val="60a0b0"/>
    </w:rPr>
  </w:style>
  <w:style w:type="character" w:styleId="960" w:customStyle="1">
    <w:name w:val="DocumentationTok"/>
    <w:pPr>
      <w:pBdr/>
      <w:spacing/>
      <w:ind/>
    </w:pPr>
    <w:rPr>
      <w:i/>
      <w:color w:val="ba2121"/>
    </w:rPr>
  </w:style>
  <w:style w:type="character" w:styleId="961" w:customStyle="1">
    <w:name w:val="AnnotationTok"/>
    <w:pPr>
      <w:pBdr/>
      <w:spacing/>
      <w:ind/>
    </w:pPr>
    <w:rPr>
      <w:b/>
      <w:i/>
      <w:color w:val="60a0b0"/>
    </w:rPr>
  </w:style>
  <w:style w:type="character" w:styleId="962" w:customStyle="1">
    <w:name w:val="CommentVarTok"/>
    <w:pPr>
      <w:pBdr/>
      <w:spacing/>
      <w:ind/>
    </w:pPr>
    <w:rPr>
      <w:b/>
      <w:i/>
      <w:color w:val="60a0b0"/>
    </w:rPr>
  </w:style>
  <w:style w:type="character" w:styleId="963" w:customStyle="1">
    <w:name w:val="OtherTok"/>
    <w:pPr>
      <w:pBdr/>
      <w:spacing/>
      <w:ind/>
    </w:pPr>
    <w:rPr>
      <w:color w:val="007020"/>
    </w:rPr>
  </w:style>
  <w:style w:type="character" w:styleId="964" w:customStyle="1">
    <w:name w:val="FunctionTok"/>
    <w:pPr>
      <w:pBdr/>
      <w:spacing/>
      <w:ind/>
    </w:pPr>
    <w:rPr>
      <w:color w:val="06287e"/>
    </w:rPr>
  </w:style>
  <w:style w:type="character" w:styleId="965" w:customStyle="1">
    <w:name w:val="VariableTok"/>
    <w:pPr>
      <w:pBdr/>
      <w:spacing/>
      <w:ind/>
    </w:pPr>
    <w:rPr>
      <w:color w:val="19177c"/>
    </w:rPr>
  </w:style>
  <w:style w:type="character" w:styleId="966" w:customStyle="1">
    <w:name w:val="ControlFlowTok"/>
    <w:pPr>
      <w:pBdr/>
      <w:spacing/>
      <w:ind/>
    </w:pPr>
    <w:rPr>
      <w:b/>
      <w:color w:val="007020"/>
    </w:rPr>
  </w:style>
  <w:style w:type="character" w:styleId="967" w:customStyle="1">
    <w:name w:val="OperatorTok"/>
    <w:pPr>
      <w:pBdr/>
      <w:spacing/>
      <w:ind/>
    </w:pPr>
    <w:rPr>
      <w:color w:val="666666"/>
    </w:rPr>
  </w:style>
  <w:style w:type="character" w:styleId="968" w:customStyle="1">
    <w:name w:val="BuiltInTok"/>
    <w:pPr>
      <w:pBdr/>
      <w:spacing/>
      <w:ind/>
    </w:pPr>
    <w:rPr>
      <w:color w:val="008000"/>
    </w:rPr>
  </w:style>
  <w:style w:type="character" w:styleId="969" w:customStyle="1">
    <w:name w:val="ExtensionTok"/>
    <w:pPr>
      <w:pBdr/>
      <w:spacing/>
      <w:ind/>
    </w:pPr>
  </w:style>
  <w:style w:type="character" w:styleId="970" w:customStyle="1">
    <w:name w:val="PreprocessorTok"/>
    <w:pPr>
      <w:pBdr/>
      <w:spacing/>
      <w:ind/>
    </w:pPr>
    <w:rPr>
      <w:color w:val="bc7a00"/>
    </w:rPr>
  </w:style>
  <w:style w:type="character" w:styleId="971" w:customStyle="1">
    <w:name w:val="AttributeTok"/>
    <w:pPr>
      <w:pBdr/>
      <w:spacing/>
      <w:ind/>
    </w:pPr>
    <w:rPr>
      <w:color w:val="7d9029"/>
    </w:rPr>
  </w:style>
  <w:style w:type="character" w:styleId="972" w:customStyle="1">
    <w:name w:val="RegionMarkerTok"/>
    <w:pPr>
      <w:pBdr/>
      <w:spacing/>
      <w:ind/>
    </w:pPr>
  </w:style>
  <w:style w:type="character" w:styleId="973" w:customStyle="1">
    <w:name w:val="InformationTok"/>
    <w:pPr>
      <w:pBdr/>
      <w:spacing/>
      <w:ind/>
    </w:pPr>
    <w:rPr>
      <w:b/>
      <w:i/>
      <w:color w:val="60a0b0"/>
    </w:rPr>
  </w:style>
  <w:style w:type="character" w:styleId="974" w:customStyle="1">
    <w:name w:val="WarningTok"/>
    <w:pPr>
      <w:pBdr/>
      <w:spacing/>
      <w:ind/>
    </w:pPr>
    <w:rPr>
      <w:b/>
      <w:i/>
      <w:color w:val="60a0b0"/>
    </w:rPr>
  </w:style>
  <w:style w:type="character" w:styleId="975" w:customStyle="1">
    <w:name w:val="AlertTok"/>
    <w:pPr>
      <w:pBdr/>
      <w:spacing/>
      <w:ind/>
    </w:pPr>
    <w:rPr>
      <w:b/>
      <w:color w:val="ff0000"/>
    </w:rPr>
  </w:style>
  <w:style w:type="character" w:styleId="976" w:customStyle="1">
    <w:name w:val="ErrorTok"/>
    <w:pPr>
      <w:pBdr/>
      <w:spacing/>
      <w:ind/>
    </w:pPr>
    <w:rPr>
      <w:b/>
      <w:color w:val="ff0000"/>
    </w:rPr>
  </w:style>
  <w:style w:type="character" w:styleId="977" w:customStyle="1">
    <w:name w:val="NormalTok"/>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ФормЛаб_Шаблон2024.dotx</Template>
  <Application>ONLYOFFICE/8.2.0.143</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revision>2</cp:revision>
  <dcterms:created xsi:type="dcterms:W3CDTF">2024-11-13T21:26:27Z</dcterms:created>
  <dcterms:modified xsi:type="dcterms:W3CDTF">2024-11-14T08:48:20Z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../../ref.bib</vt:lpwstr>
  </property>
</Properties>
</file>