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160" w:before="0"/>
        <w:jc w:val="center"/>
      </w:pPr>
      <w:r>
        <w:rPr>
          <w:rFonts w:ascii="Georgia" w:cs="Georgia" w:eastAsia="Georgia" w:hAnsi="Georgia"/>
          <w:b w:val="false"/>
          <w:bCs w:val="false"/>
          <w:i w:val="false"/>
          <w:iCs w:val="false"/>
          <w:color w:val="9CA3AF"/>
          <w:sz w:val="17"/>
          <w:szCs w:val="17"/>
        </w:rPr>
        <w:t xml:space="preserve">AMAZENLENS  ·  ARAŞTIRMA SERİSİ #5</w:t>
      </w:r>
    </w:p>
    <w:p>
      <w:pPr>
        <w:spacing w:after="200" w:before="0"/>
        <w:jc w:val="center"/>
      </w:pPr>
      <w:r>
        <w:rPr>
          <w:rFonts w:ascii="Georgia" w:cs="Georgia" w:eastAsia="Georgia" w:hAnsi="Georgia"/>
          <w:b/>
          <w:bCs/>
          <w:i w:val="false"/>
          <w:iCs w:val="false"/>
          <w:color w:val="1B3A6B"/>
          <w:sz w:val="48"/>
          <w:szCs w:val="48"/>
        </w:rPr>
        <w:t xml:space="preserve">Amazon Satıcıları İçin
Dünya Genelinde Yayımlanan
Akademik Araştırmalar Ne Söylüyor?</w:t>
      </w:r>
    </w:p>
    <w:p>
      <w:pPr>
        <w:pBdr>
          <w:bottom w:val="single" w:color="E5E7EB" w:sz="6"/>
        </w:pBdr>
        <w:spacing w:after="240" w:before="240"/>
      </w:pPr>
    </w:p>
    <w:p>
      <w:pPr>
        <w:spacing w:after="80" w:before="120"/>
        <w:jc w:val="center"/>
      </w:pPr>
      <w:r>
        <w:rPr>
          <w:rFonts w:ascii="Georgia" w:cs="Georgia" w:eastAsia="Georgia" w:hAnsi="Georgia"/>
          <w:b w:val="false"/>
          <w:bCs w:val="false"/>
          <w:i/>
          <w:iCs/>
          <w:color w:val="6B7280"/>
          <w:sz w:val="22"/>
          <w:szCs w:val="22"/>
        </w:rPr>
        <w:t xml:space="preserve">IEEE, ACM, arXiv, Springer ve ScienceDirect'ten derlenen 30'dan fazla çalışma — ve bunların Amazon satıcılığı için pratik anlamı.</w:t>
      </w:r>
    </w:p>
    <w:p>
      <w:pPr>
        <w:spacing w:after="0" w:before="0"/>
        <w:jc w:val="center"/>
      </w:pPr>
      <w:r>
        <w:rPr>
          <w:rFonts w:ascii="Georgia" w:cs="Georgia" w:eastAsia="Georgia" w:hAnsi="Georgia"/>
          <w:b w:val="false"/>
          <w:bCs w:val="false"/>
          <w:i w:val="false"/>
          <w:iCs w:val="false"/>
          <w:color w:val="9CA3AF"/>
          <w:sz w:val="18"/>
          <w:szCs w:val="18"/>
        </w:rPr>
        <w:t xml:space="preserve">Mart 2026  ·  14 dakikalık okuma  ·  amazenlens.com/blog</w:t>
      </w:r>
    </w:p>
    <w:p>
      <w:r>
        <w:br w:type="page"/>
      </w:r>
    </w:p>
    <w:p>
      <w:pPr>
        <w:pStyle w:val="Heading1"/>
        <w:pBdr>
          <w:bottom w:val="single" w:color="2563EB" w:sz="8"/>
        </w:pBdr>
        <w:spacing w:after="240" w:before="480"/>
      </w:pPr>
      <w:r>
        <w:rPr>
          <w:rFonts w:ascii="Georgia" w:cs="Georgia" w:eastAsia="Georgia" w:hAnsi="Georgia"/>
          <w:b/>
          <w:bCs/>
          <w:color w:val="1B3A6B"/>
          <w:sz w:val="40"/>
          <w:szCs w:val="40"/>
        </w:rPr>
        <w:t xml:space="preserve">Bilim Amazon Satıcısına Ne Söylüyor?</w:t>
      </w:r>
    </w:p>
    <w:p>
      <w:pPr>
        <w:spacing w:after="100" w:before="80"/>
        <w:jc w:val="both"/>
      </w:pPr>
      <w:r>
        <w:rPr>
          <w:rFonts w:ascii="Georgia" w:cs="Georgia" w:eastAsia="Georgia" w:hAnsi="Georgia"/>
          <w:b w:val="false"/>
          <w:bCs w:val="false"/>
          <w:i w:val="false"/>
          <w:iCs w:val="false"/>
          <w:color w:val="111827"/>
          <w:sz w:val="22"/>
          <w:szCs w:val="22"/>
        </w:rPr>
        <w:t xml:space="preserve">Amazon satıcılığı, son birkaç yılda akademik dünyanın da ciddi ilgisini çekmeye başladı. IEEE, ACM, Springer ve arXiv gibi dünyanın en prestijli yayın platformlarında ürün araştırması, talep tahmini, yorum analizi ve arama algoritmaları hakkında onlarca çalışma yayımlandı.</w:t>
      </w:r>
    </w:p>
    <w:p>
      <w:pPr>
        <w:spacing w:after="0" w:before="80"/>
      </w:pPr>
      <w:r>
        <w:t xml:space="preserve"/>
      </w:r>
    </w:p>
    <w:p>
      <w:pPr>
        <w:spacing w:after="100" w:before="80"/>
        <w:jc w:val="both"/>
      </w:pPr>
      <w:r>
        <w:rPr>
          <w:rFonts w:ascii="Georgia" w:cs="Georgia" w:eastAsia="Georgia" w:hAnsi="Georgia"/>
          <w:b w:val="false"/>
          <w:bCs w:val="false"/>
          <w:i w:val="false"/>
          <w:iCs w:val="false"/>
          <w:color w:val="111827"/>
          <w:sz w:val="22"/>
          <w:szCs w:val="22"/>
        </w:rPr>
        <w:t xml:space="preserve">Bu çalışmaların büyük çoğunluğu teorik değil, somut: gerçek Amazon, eBay ve Flipkart verileriyle test edilmiş, ölçülen ve kanıtlanan yöntemler. AmazenLens bu araştırmaları taradı ve platformun her modülü için en değerli bulguları seçti.</w:t>
      </w:r>
    </w:p>
    <w:p>
      <w:pPr>
        <w:spacing w:after="0" w:before="80"/>
      </w:pPr>
      <w:r>
        <w:t xml:space="preserve"/>
      </w:r>
    </w:p>
    <w:p>
      <w:pPr>
        <w:spacing w:after="100" w:before="80"/>
        <w:jc w:val="both"/>
      </w:pPr>
      <w:r>
        <w:rPr>
          <w:rFonts w:ascii="Georgia" w:cs="Georgia" w:eastAsia="Georgia" w:hAnsi="Georgia"/>
          <w:b w:val="false"/>
          <w:bCs w:val="false"/>
          <w:i w:val="false"/>
          <w:iCs w:val="false"/>
          <w:color w:val="111827"/>
          <w:sz w:val="22"/>
          <w:szCs w:val="22"/>
        </w:rPr>
        <w:t xml:space="preserve">Bu yazı, o araştırmaların özünü satıcı diline çeviriyor. Hangi çalışma neyi kanıtladı, bu bulgu sizin için ne anlam ifade ediyor ve AmazenLens bunu nasıl uyguluyor — adım adım.</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W w:type="dxa" w:w="9026"/>
            <w:tcBorders>
              <w:top w:val="single" w:color="E5E7EB" w:sz="1"/>
              <w:left w:val="single" w:color="2563EB" w:sz="16"/>
              <w:bottom w:val="single" w:color="E5E7EB" w:sz="1"/>
              <w:right w:val="single" w:color="E5E7EB" w:sz="1"/>
            </w:tcBorders>
            <w:shd w:fill="EFF6FF" w:val="clear"/>
            <w:tcMar>
              <w:top w:type="dxa" w:w="120"/>
              <w:left w:type="dxa" w:w="200"/>
              <w:bottom w:type="dxa" w:w="120"/>
              <w:right w:type="dxa" w:w="180"/>
            </w:tcMar>
          </w:tcPr>
          <w:p>
            <w:pPr>
              <w:spacing w:after="60" w:before="0"/>
            </w:pPr>
            <w:r>
              <w:rPr>
                <w:rFonts w:ascii="Georgia" w:cs="Georgia" w:eastAsia="Georgia" w:hAnsi="Georgia"/>
                <w:b/>
                <w:bCs/>
                <w:i w:val="false"/>
                <w:iCs w:val="false"/>
                <w:color w:val="2563EB"/>
                <w:sz w:val="20"/>
                <w:szCs w:val="20"/>
              </w:rPr>
              <w:t xml:space="preserve">Bu Yazıda Neler Var?</w:t>
            </w:r>
          </w:p>
          <w:p>
            <w:pPr>
              <w:spacing w:after="0" w:before="0"/>
            </w:pPr>
            <w:r>
              <w:rPr>
                <w:rFonts w:ascii="Georgia" w:cs="Georgia" w:eastAsia="Georgia" w:hAnsi="Georgia"/>
                <w:b w:val="false"/>
                <w:bCs w:val="false"/>
                <w:i w:val="false"/>
                <w:iCs w:val="false"/>
                <w:color w:val="374151"/>
                <w:sz w:val="21"/>
                <w:szCs w:val="21"/>
              </w:rPr>
              <w:t xml:space="preserve">ABSA ile ürün yorumlarını 5 boyutta analiz etmek · Dünya olaylarının satışlara etkisini tahmin etmek · Hiç satılmamış ürünün potansiyelini ölçmek · Hangi yorumun gerçekten işe yaradığını bulmak · LLM'lerle arama alaka kalitesini artırmak · Görselten Amazon listing üretimi</w:t>
            </w:r>
          </w:p>
        </w:tc>
      </w:tr>
    </w:tbl>
    <w:p>
      <w:pPr>
        <w:spacing w:after="0" w:before="160"/>
      </w:pPr>
      <w:r>
        <w:t xml:space="preserve"/>
      </w:r>
    </w:p>
    <w:p>
      <w:pPr>
        <w:pStyle w:val="Heading1"/>
        <w:pBdr>
          <w:bottom w:val="single" w:color="2563EB" w:sz="8"/>
        </w:pBdr>
        <w:spacing w:after="240" w:before="480"/>
      </w:pPr>
      <w:r>
        <w:rPr>
          <w:rFonts w:ascii="Georgia" w:cs="Georgia" w:eastAsia="Georgia" w:hAnsi="Georgia"/>
          <w:b/>
          <w:bCs/>
          <w:color w:val="1B3A6B"/>
          <w:sz w:val="40"/>
          <w:szCs w:val="40"/>
        </w:rPr>
        <w:t xml:space="preserve">1. Ürün Yorumlarının Gerçek Analizi: ABSA</w:t>
      </w:r>
    </w:p>
    <w:p>
      <w:pPr>
        <w:spacing w:after="100" w:before="80"/>
        <w:jc w:val="both"/>
      </w:pPr>
      <w:r>
        <w:rPr>
          <w:rFonts w:ascii="Georgia" w:cs="Georgia" w:eastAsia="Georgia" w:hAnsi="Georgia"/>
          <w:b w:val="false"/>
          <w:bCs w:val="false"/>
          <w:i w:val="false"/>
          <w:iCs w:val="false"/>
          <w:color w:val="111827"/>
          <w:sz w:val="22"/>
          <w:szCs w:val="22"/>
        </w:rPr>
        <w:t xml:space="preserve">"Bu ürünün yorumları %68 olumlu" — bu cümle kulağa bilgilendirici geliyor. Ama bir satıcı için neredeyse işe yaramaz. Çünkü kritik soru şu: Müşteriler ne konuda şikayet ediyor?</w:t>
      </w:r>
    </w:p>
    <w:p>
      <w:pPr>
        <w:spacing w:after="0" w:before="80"/>
      </w:pPr>
      <w:r>
        <w:t xml:space="preserve"/>
      </w:r>
    </w:p>
    <w:p>
      <w:pPr>
        <w:spacing w:after="100" w:before="80"/>
        <w:jc w:val="both"/>
      </w:pPr>
      <w:r>
        <w:rPr>
          <w:rFonts w:ascii="Georgia" w:cs="Georgia" w:eastAsia="Georgia" w:hAnsi="Georgia"/>
          <w:b w:val="false"/>
          <w:bCs w:val="false"/>
          <w:i w:val="false"/>
          <w:iCs w:val="false"/>
          <w:color w:val="111827"/>
          <w:sz w:val="22"/>
          <w:szCs w:val="22"/>
        </w:rPr>
        <w:t xml:space="preserve">Springer'ın Artificial Intelligence Review dergisinde 2024 yılında yayımlanan ve 727 birincil çalışmayı tarayan sistematik literatür taraması, bu soruya yanıt veriyor: ABSA — Aspect-Based Sentiment Analysis — her ürün boyutu için ayrı sentiment tespiti yapabiliyor. 2024 itibarıyla DeBERTa-V3 ve InstructABSA hibrit pipeline'ı tüm kıyaslama testlerinde yüzde doksanın üzerinde F1 skoru elde ediyor.</w:t>
      </w:r>
    </w:p>
    <w:p>
      <w:pPr>
        <w:pStyle w:val="Heading3"/>
        <w:spacing w:after="120" w:before="240"/>
      </w:pPr>
      <w:r>
        <w:rPr>
          <w:rFonts w:ascii="Georgia" w:cs="Georgia" w:eastAsia="Georgia" w:hAnsi="Georgia"/>
          <w:b/>
          <w:bCs/>
          <w:color w:val="2563EB"/>
          <w:sz w:val="24"/>
          <w:szCs w:val="24"/>
        </w:rPr>
        <w:t xml:space="preserve">ABSA Ne Demek, Ne İşe Yarıyor?</w:t>
      </w:r>
    </w:p>
    <w:p>
      <w:pPr>
        <w:spacing w:after="100" w:before="80"/>
        <w:jc w:val="both"/>
      </w:pPr>
      <w:r>
        <w:rPr>
          <w:rFonts w:ascii="Georgia" w:cs="Georgia" w:eastAsia="Georgia" w:hAnsi="Georgia"/>
          <w:b w:val="false"/>
          <w:bCs w:val="false"/>
          <w:i w:val="false"/>
          <w:iCs w:val="false"/>
          <w:color w:val="111827"/>
          <w:sz w:val="22"/>
          <w:szCs w:val="22"/>
        </w:rPr>
        <w:t xml:space="preserve">Bir müşteri şöyle yazıyor: "Ürün harika kaliteli ama kargo çok geç geldi, fiyatı da biraz yüksek." Genel sentiment analizi bunu karışık ya da nötr olarak sınıflandırır. ABSA ise tam tersi bir sonuç verir:</w:t>
      </w:r>
    </w:p>
    <w:p>
      <w:pPr>
        <w:pStyle w:val="ListParagraph"/>
        <w:numPr>
          <w:ilvl w:val="0"/>
          <w:numId w:val="2"/>
        </w:numPr>
        <w:spacing w:after="60" w:before="60"/>
      </w:pPr>
      <w:r>
        <w:rPr>
          <w:rFonts w:ascii="Georgia" w:cs="Georgia" w:eastAsia="Georgia" w:hAnsi="Georgia"/>
          <w:b w:val="false"/>
          <w:bCs w:val="false"/>
          <w:i w:val="false"/>
          <w:iCs w:val="false"/>
          <w:color w:val="111827"/>
          <w:sz w:val="21"/>
          <w:szCs w:val="21"/>
        </w:rPr>
        <w:t xml:space="preserve">Kalite: Pozitif (0.91 skor)</w:t>
      </w:r>
    </w:p>
    <w:p>
      <w:pPr>
        <w:pStyle w:val="ListParagraph"/>
        <w:numPr>
          <w:ilvl w:val="0"/>
          <w:numId w:val="2"/>
        </w:numPr>
        <w:spacing w:after="60" w:before="60"/>
      </w:pPr>
      <w:r>
        <w:rPr>
          <w:rFonts w:ascii="Georgia" w:cs="Georgia" w:eastAsia="Georgia" w:hAnsi="Georgia"/>
          <w:b w:val="false"/>
          <w:bCs w:val="false"/>
          <w:i w:val="false"/>
          <w:iCs w:val="false"/>
          <w:color w:val="111827"/>
          <w:sz w:val="21"/>
          <w:szCs w:val="21"/>
        </w:rPr>
        <w:t xml:space="preserve">Kargo: Negatif (−0.74 skor)</w:t>
      </w:r>
    </w:p>
    <w:p>
      <w:pPr>
        <w:pStyle w:val="ListParagraph"/>
        <w:numPr>
          <w:ilvl w:val="0"/>
          <w:numId w:val="2"/>
        </w:numPr>
        <w:spacing w:after="60" w:before="60"/>
      </w:pPr>
      <w:r>
        <w:rPr>
          <w:rFonts w:ascii="Georgia" w:cs="Georgia" w:eastAsia="Georgia" w:hAnsi="Georgia"/>
          <w:b w:val="false"/>
          <w:bCs w:val="false"/>
          <w:i w:val="false"/>
          <w:iCs w:val="false"/>
          <w:color w:val="111827"/>
          <w:sz w:val="21"/>
          <w:szCs w:val="21"/>
        </w:rPr>
        <w:t xml:space="preserve">Fiyat: Negatif (−0.42 skor)</w:t>
      </w:r>
    </w:p>
    <w:p>
      <w:pPr>
        <w:spacing w:after="0" w:before="80"/>
      </w:pPr>
      <w:r>
        <w:t xml:space="preserve"/>
      </w:r>
    </w:p>
    <w:p>
      <w:pPr>
        <w:spacing w:after="100" w:before="80"/>
        <w:jc w:val="both"/>
      </w:pPr>
      <w:r>
        <w:rPr>
          <w:rFonts w:ascii="Georgia" w:cs="Georgia" w:eastAsia="Georgia" w:hAnsi="Georgia"/>
          <w:b w:val="false"/>
          <w:bCs w:val="false"/>
          <w:i w:val="false"/>
          <w:iCs w:val="false"/>
          <w:color w:val="111827"/>
          <w:sz w:val="22"/>
          <w:szCs w:val="22"/>
        </w:rPr>
        <w:t xml:space="preserve">Bu üç bilgi, bir satıcı için son derece değerlidir. "Bu nişte kargo sorunları var" — bu bir fırsattır. FBA kullanan bir satıcı için rekabet avantajına dönüşebilir.</w:t>
      </w:r>
    </w:p>
    <w:p>
      <w:pPr>
        <w:pStyle w:val="Heading3"/>
        <w:spacing w:after="120" w:before="240"/>
      </w:pPr>
      <w:r>
        <w:rPr>
          <w:rFonts w:ascii="Georgia" w:cs="Georgia" w:eastAsia="Georgia" w:hAnsi="Georgia"/>
          <w:b/>
          <w:bCs/>
          <w:color w:val="2563EB"/>
          <w:sz w:val="24"/>
          <w:szCs w:val="24"/>
        </w:rPr>
        <w:t xml:space="preserve">Beş Boyut: Gerçekten Önemli Olan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800"/>
        <w:gridCol w:w="3200"/>
        <w:gridCol w:w="4026"/>
      </w:tblGrid>
      <w:tr>
        <w:tc>
          <w:tcPr>
            <w:tcW w:type="dxa" w:w="18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pPr>
              <w:spacing w:after="0" w:before="0"/>
            </w:pPr>
            <w:r>
              <w:rPr>
                <w:rFonts w:ascii="Georgia" w:cs="Georgia" w:eastAsia="Georgia" w:hAnsi="Georgia"/>
                <w:b/>
                <w:bCs/>
                <w:i w:val="false"/>
                <w:iCs w:val="false"/>
                <w:color w:val="FFFFFF"/>
                <w:sz w:val="19"/>
                <w:szCs w:val="19"/>
              </w:rPr>
              <w:t xml:space="preserve">Boyut</w:t>
            </w:r>
          </w:p>
        </w:tc>
        <w:tc>
          <w:tcPr>
            <w:tcW w:type="dxa" w:w="32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pPr>
              <w:spacing w:after="0" w:before="0"/>
            </w:pPr>
            <w:r>
              <w:rPr>
                <w:rFonts w:ascii="Georgia" w:cs="Georgia" w:eastAsia="Georgia" w:hAnsi="Georgia"/>
                <w:b/>
                <w:bCs/>
                <w:i w:val="false"/>
                <w:iCs w:val="false"/>
                <w:color w:val="FFFFFF"/>
                <w:sz w:val="19"/>
                <w:szCs w:val="19"/>
              </w:rPr>
              <w:t xml:space="preserve">Yüksek Negatif Anlamı</w:t>
            </w:r>
          </w:p>
        </w:tc>
        <w:tc>
          <w:tcPr>
            <w:tcW w:type="dxa" w:w="4026"/>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pPr>
              <w:spacing w:after="0" w:before="0"/>
            </w:pPr>
            <w:r>
              <w:rPr>
                <w:rFonts w:ascii="Georgia" w:cs="Georgia" w:eastAsia="Georgia" w:hAnsi="Georgia"/>
                <w:b/>
                <w:bCs/>
                <w:i w:val="false"/>
                <w:iCs w:val="false"/>
                <w:color w:val="FFFFFF"/>
                <w:sz w:val="19"/>
                <w:szCs w:val="19"/>
              </w:rPr>
              <w:t xml:space="preserve">Fırsat</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Fiyat</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Müşteriler pahalı buluyor</w:t>
            </w:r>
          </w:p>
        </w:tc>
        <w:tc>
          <w:tcPr>
            <w:tcW w:type="dxa" w:w="4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Daha düşük fiyat noktasıyla giriş</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Kalite</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Ürün beklentiyi karşılamıyor</w:t>
            </w:r>
          </w:p>
        </w:tc>
        <w:tc>
          <w:tcPr>
            <w:tcW w:type="dxa" w:w="4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Daha kaliteli tedarikçiyle fark yarat</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Kargo</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Teslimat süreci sorunlu</w:t>
            </w:r>
          </w:p>
        </w:tc>
        <w:tc>
          <w:tcPr>
            <w:tcW w:type="dxa" w:w="4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FBA ile çöz, rekabet avantajı al</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Dayanıklılık</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Ürün uzun süre dayanmıyor</w:t>
            </w:r>
          </w:p>
        </w:tc>
        <w:tc>
          <w:tcPr>
            <w:tcW w:type="dxa" w:w="4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Malzeme kalitesi odaklı ürün seç</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Müşteri Hizmeti</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Satış sonrası destek zayıf</w:t>
            </w:r>
          </w:p>
        </w:tc>
        <w:tc>
          <w:tcPr>
            <w:tcW w:type="dxa" w:w="4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Proaktif müşteri iletişimiyle öne çık</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W w:type="dxa" w:w="9026"/>
            <w:tcBorders>
              <w:top w:val="single" w:color="E5E7EB" w:sz="1"/>
              <w:left w:val="single" w:color="0D9488" w:sz="16"/>
              <w:bottom w:val="single" w:color="E5E7EB" w:sz="1"/>
              <w:right w:val="single" w:color="E5E7EB" w:sz="1"/>
            </w:tcBorders>
            <w:shd w:fill="F3F4F6" w:val="clear"/>
            <w:tcMar>
              <w:top w:type="dxa" w:w="120"/>
              <w:left w:type="dxa" w:w="240"/>
              <w:bottom w:type="dxa" w:w="120"/>
              <w:right w:type="dxa" w:w="180"/>
            </w:tcMar>
          </w:tcPr>
          <w:p>
            <w:pPr>
              <w:spacing w:after="0" w:before="0"/>
            </w:pPr>
            <w:r>
              <w:rPr>
                <w:rFonts w:ascii="Georgia" w:cs="Georgia" w:eastAsia="Georgia" w:hAnsi="Georgia"/>
                <w:b w:val="false"/>
                <w:bCs w:val="false"/>
                <w:i/>
                <w:iCs/>
                <w:color w:val="374151"/>
                <w:sz w:val="21"/>
                <w:szCs w:val="21"/>
              </w:rPr>
              <w:t xml:space="preserve">Helium 10 ve Jungle Scout, ürün yorumlarını yalnızca genel skor olarak gösteriyor. ABSA ile beş boyutlu analiz, rakip platformların sunamadığı derinlikte bir bakış açısı sunuyor. Bu fark, hangi nişe girileceğine dair kararları temelden değiştiriyor.</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W w:type="dxa" w:w="9026"/>
            <w:tcBorders>
              <w:top w:val="single" w:color="E5E7EB" w:sz="1"/>
              <w:left w:val="single" w:color="0D9488" w:sz="16"/>
              <w:bottom w:val="single" w:color="E5E7EB" w:sz="1"/>
              <w:right w:val="single" w:color="E5E7EB" w:sz="1"/>
            </w:tcBorders>
            <w:shd w:fill="F0FFF9" w:val="clear"/>
            <w:tcMar>
              <w:top w:type="dxa" w:w="120"/>
              <w:left w:type="dxa" w:w="200"/>
              <w:bottom w:type="dxa" w:w="120"/>
              <w:right w:type="dxa" w:w="180"/>
            </w:tcMar>
          </w:tcPr>
          <w:p>
            <w:pPr>
              <w:spacing w:after="60" w:before="0"/>
            </w:pPr>
            <w:r>
              <w:rPr>
                <w:rFonts w:ascii="Georgia" w:cs="Georgia" w:eastAsia="Georgia" w:hAnsi="Georgia"/>
                <w:b/>
                <w:bCs/>
                <w:i w:val="false"/>
                <w:iCs w:val="false"/>
                <w:color w:val="0D9488"/>
                <w:sz w:val="20"/>
                <w:szCs w:val="20"/>
              </w:rPr>
              <w:t xml:space="preserve">Akademik Kaynak</w:t>
            </w:r>
          </w:p>
          <w:p>
            <w:pPr>
              <w:spacing w:after="0" w:before="0"/>
            </w:pPr>
            <w:r>
              <w:rPr>
                <w:rFonts w:ascii="Georgia" w:cs="Georgia" w:eastAsia="Georgia" w:hAnsi="Georgia"/>
                <w:b w:val="false"/>
                <w:bCs w:val="false"/>
                <w:i w:val="false"/>
                <w:iCs w:val="false"/>
                <w:color w:val="374151"/>
                <w:sz w:val="21"/>
                <w:szCs w:val="21"/>
              </w:rPr>
              <w:t xml:space="preserve">arXiv:2311.10777 — Springer Artificial Intelligence Review (2024). 727 birincil çalışma, 2008–2024 arası. MDPI Big Data and Cognitive Computing 8(11) (2024). DeBERTa-V3 + XAI metodolojisi.</w:t>
            </w:r>
          </w:p>
        </w:tc>
      </w:tr>
    </w:tbl>
    <w:p>
      <w:pPr>
        <w:spacing w:after="0" w:before="160"/>
      </w:pPr>
      <w:r>
        <w:t xml:space="preserve"/>
      </w:r>
    </w:p>
    <w:p>
      <w:pPr>
        <w:pStyle w:val="Heading1"/>
        <w:pBdr>
          <w:bottom w:val="single" w:color="2563EB" w:sz="8"/>
        </w:pBdr>
        <w:spacing w:after="240" w:before="480"/>
      </w:pPr>
      <w:r>
        <w:rPr>
          <w:rFonts w:ascii="Georgia" w:cs="Georgia" w:eastAsia="Georgia" w:hAnsi="Georgia"/>
          <w:b/>
          <w:bCs/>
          <w:color w:val="1B3A6B"/>
          <w:sz w:val="40"/>
          <w:szCs w:val="40"/>
        </w:rPr>
        <w:t xml:space="preserve">2. Talep Tahmini: Dünün Verisiyle Yarını Görmek</w:t>
      </w:r>
    </w:p>
    <w:p>
      <w:pPr>
        <w:spacing w:after="100" w:before="80"/>
        <w:jc w:val="both"/>
      </w:pPr>
      <w:r>
        <w:rPr>
          <w:rFonts w:ascii="Georgia" w:cs="Georgia" w:eastAsia="Georgia" w:hAnsi="Georgia"/>
          <w:b w:val="false"/>
          <w:bCs w:val="false"/>
          <w:i w:val="false"/>
          <w:iCs w:val="false"/>
          <w:color w:val="111827"/>
          <w:sz w:val="22"/>
          <w:szCs w:val="22"/>
        </w:rPr>
        <w:t xml:space="preserve">Geleneksel talep tahmini şöyle çalışır: Geçen yıl bu dönemde kaç sattın? Bu yıl muhtemelen benzer olacak. Bu yaklaşım, durgun piyasalarda işe yarar. Ancak pandemi döneminde maske fiyatları dakikalar içinde 10 katına çıktığında, futbol kupası sırasında spor kartları kategorisi patladığında, bu model tamamen çöktü.</w:t>
      </w:r>
    </w:p>
    <w:p>
      <w:pPr>
        <w:pStyle w:val="Heading3"/>
        <w:spacing w:after="120" w:before="240"/>
      </w:pPr>
      <w:r>
        <w:rPr>
          <w:rFonts w:ascii="Georgia" w:cs="Georgia" w:eastAsia="Georgia" w:hAnsi="Georgia"/>
          <w:b/>
          <w:bCs/>
          <w:color w:val="2563EB"/>
          <w:sz w:val="24"/>
          <w:szCs w:val="24"/>
        </w:rPr>
        <w:t xml:space="preserve">GAN-Event LSTM: Olaylar Satışları Nasıl Etkiliyor?</w:t>
      </w:r>
    </w:p>
    <w:p>
      <w:pPr>
        <w:spacing w:after="100" w:before="80"/>
        <w:jc w:val="both"/>
      </w:pPr>
      <w:r>
        <w:rPr>
          <w:rFonts w:ascii="Georgia" w:cs="Georgia" w:eastAsia="Georgia" w:hAnsi="Georgia"/>
          <w:b w:val="false"/>
          <w:bCs w:val="false"/>
          <w:i w:val="false"/>
          <w:iCs w:val="false"/>
          <w:color w:val="111827"/>
          <w:sz w:val="22"/>
          <w:szCs w:val="22"/>
        </w:rPr>
        <w:t xml:space="preserve">eBay verisi üzerinde gerçekleştirilen ve arXiv'de yayımlanan araştırma (2405.13995), dünya olaylarını — haberleri, tatilleri, spor organizasyonlarını — talep tahmin modeline entegre eden GAN-Event LSTM mimarisini ortaya koydu. Sonuç: Yüksek anomali dönemlerinde bu model, yalnızca geçmiş satışa dayanan tüm rakip modelleri geride bıraktı.</w:t>
      </w:r>
    </w:p>
    <w:p>
      <w:pPr>
        <w:spacing w:after="0" w:before="80"/>
      </w:pPr>
      <w:r>
        <w:t xml:space="preserve"/>
      </w:r>
    </w:p>
    <w:p>
      <w:pPr>
        <w:spacing w:after="100" w:before="80"/>
        <w:jc w:val="both"/>
      </w:pPr>
      <w:r>
        <w:rPr>
          <w:rFonts w:ascii="Georgia" w:cs="Georgia" w:eastAsia="Georgia" w:hAnsi="Georgia"/>
          <w:b w:val="false"/>
          <w:bCs w:val="false"/>
          <w:i w:val="false"/>
          <w:iCs w:val="false"/>
          <w:color w:val="111827"/>
          <w:sz w:val="22"/>
          <w:szCs w:val="22"/>
        </w:rPr>
        <w:t xml:space="preserve">Pratik örnek: Futbol dünya kupası döneminde "Football Cards" kategorisi, gelir tahmini hatasında diğer kategorilerin üç katı sapma gösterdi. Çünkü spor kartseverler, kupanın başlamasından haftalarca önce satın alma kararı veriyordu. Geçmiş satış verisi bunu göremiyordu. Ama dünya olaylarını takip eden bir model görebiliyordu.</w:t>
      </w:r>
    </w:p>
    <w:p>
      <w:pPr>
        <w:pStyle w:val="Heading3"/>
        <w:spacing w:after="120" w:before="240"/>
      </w:pPr>
      <w:r>
        <w:rPr>
          <w:rFonts w:ascii="Georgia" w:cs="Georgia" w:eastAsia="Georgia" w:hAnsi="Georgia"/>
          <w:b/>
          <w:bCs/>
          <w:color w:val="2563EB"/>
          <w:sz w:val="24"/>
          <w:szCs w:val="24"/>
        </w:rPr>
        <w:t xml:space="preserve">Makroekonomik Göstergeler de Önemli</w:t>
      </w:r>
    </w:p>
    <w:p>
      <w:pPr>
        <w:spacing w:after="100" w:before="80"/>
        <w:jc w:val="both"/>
      </w:pPr>
      <w:r>
        <w:rPr>
          <w:rFonts w:ascii="Georgia" w:cs="Georgia" w:eastAsia="Georgia" w:hAnsi="Georgia"/>
          <w:b w:val="false"/>
          <w:bCs w:val="false"/>
          <w:i w:val="false"/>
          <w:iCs w:val="false"/>
          <w:color w:val="111827"/>
          <w:sz w:val="22"/>
          <w:szCs w:val="22"/>
        </w:rPr>
        <w:t xml:space="preserve">Avrupa merkezli ikinci bir araştırma (arXiv:2406.07564), GSYİH büyümesi, enflasyon ve tüketici güven endeksi gibi makroekonomik verilerin NeuralProphet ve SARIMAX modellerine dahil edilmesinin satış tahminlerini istatistiksel olarak anlamlı biçimde iyileştirdiğini gösterdi.</w:t>
      </w:r>
    </w:p>
    <w:p>
      <w:pPr>
        <w:spacing w:after="0" w:before="80"/>
      </w:pPr>
      <w:r>
        <w:t xml:space="preserve"/>
      </w:r>
    </w:p>
    <w:p>
      <w:pPr>
        <w:spacing w:after="100" w:before="80"/>
        <w:jc w:val="both"/>
      </w:pPr>
      <w:r>
        <w:rPr>
          <w:rFonts w:ascii="Georgia" w:cs="Georgia" w:eastAsia="Georgia" w:hAnsi="Georgia"/>
          <w:b w:val="false"/>
          <w:bCs w:val="false"/>
          <w:i w:val="false"/>
          <w:iCs w:val="false"/>
          <w:color w:val="111827"/>
          <w:sz w:val="22"/>
          <w:szCs w:val="22"/>
        </w:rPr>
        <w:t xml:space="preserve">Türkiye özelinde düşünelim: TL/USD kuru, enflasyon ve tüketici güven endeksi — bunlar Amazon.com.tr'de satılan ürünlerin talebini doğrudan etkiliyor. Bu sinyalleri tahmin modeline eklemek, salt satış geçmişine bakmaktan çok daha güçlü sonuçlar üretiyor.</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W w:type="dxa" w:w="9026"/>
            <w:tcBorders>
              <w:top w:val="single" w:color="E5E7EB" w:sz="1"/>
              <w:left w:val="single" w:color="2563EB" w:sz="16"/>
              <w:bottom w:val="single" w:color="E5E7EB" w:sz="1"/>
              <w:right w:val="single" w:color="E5E7EB" w:sz="1"/>
            </w:tcBorders>
            <w:shd w:fill="EFF6FF" w:val="clear"/>
            <w:tcMar>
              <w:top w:type="dxa" w:w="120"/>
              <w:left w:type="dxa" w:w="200"/>
              <w:bottom w:type="dxa" w:w="120"/>
              <w:right w:type="dxa" w:w="180"/>
            </w:tcMar>
          </w:tcPr>
          <w:p>
            <w:pPr>
              <w:spacing w:after="60" w:before="0"/>
            </w:pPr>
            <w:r>
              <w:rPr>
                <w:rFonts w:ascii="Georgia" w:cs="Georgia" w:eastAsia="Georgia" w:hAnsi="Georgia"/>
                <w:b/>
                <w:bCs/>
                <w:i w:val="false"/>
                <w:iCs w:val="false"/>
                <w:color w:val="2563EB"/>
                <w:sz w:val="20"/>
                <w:szCs w:val="20"/>
              </w:rPr>
              <w:t xml:space="preserve">AmazenLens Trend Radar</w:t>
            </w:r>
          </w:p>
          <w:p>
            <w:pPr>
              <w:spacing w:after="0" w:before="0"/>
            </w:pPr>
            <w:r>
              <w:rPr>
                <w:rFonts w:ascii="Georgia" w:cs="Georgia" w:eastAsia="Georgia" w:hAnsi="Georgia"/>
                <w:b w:val="false"/>
                <w:bCs w:val="false"/>
                <w:i w:val="false"/>
                <w:iCs w:val="false"/>
                <w:color w:val="374151"/>
                <w:sz w:val="21"/>
                <w:szCs w:val="21"/>
              </w:rPr>
              <w:t xml:space="preserve">Mevcut durum Google Trends skoru gösteriyor. Akademik bulgular, harici makroekonomik ve olay bazlı sinyallerin eklenmesiyle tahminin dramatik biçimde güçlendiğini kanıtlıyor. Bu genişleme yol haritamızda.</w:t>
            </w:r>
          </w:p>
        </w:tc>
      </w:tr>
    </w:tbl>
    <w:p>
      <w:pPr>
        <w:spacing w:after="0" w:before="160"/>
      </w:pPr>
      <w:r>
        <w:t xml:space="preserve"/>
      </w:r>
    </w:p>
    <w:p>
      <w:pPr>
        <w:pStyle w:val="Heading1"/>
        <w:pBdr>
          <w:bottom w:val="single" w:color="2563EB" w:sz="8"/>
        </w:pBdr>
        <w:spacing w:after="240" w:before="480"/>
      </w:pPr>
      <w:r>
        <w:rPr>
          <w:rFonts w:ascii="Georgia" w:cs="Georgia" w:eastAsia="Georgia" w:hAnsi="Georgia"/>
          <w:b/>
          <w:bCs/>
          <w:color w:val="1B3A6B"/>
          <w:sz w:val="40"/>
          <w:szCs w:val="40"/>
        </w:rPr>
        <w:t xml:space="preserve">3. Hiç Satılmamış Ürünün Potansiyeli: Cold-Start Sorunu</w:t>
      </w:r>
    </w:p>
    <w:p>
      <w:pPr>
        <w:spacing w:after="100" w:before="80"/>
        <w:jc w:val="both"/>
      </w:pPr>
      <w:r>
        <w:rPr>
          <w:rFonts w:ascii="Georgia" w:cs="Georgia" w:eastAsia="Georgia" w:hAnsi="Georgia"/>
          <w:b w:val="false"/>
          <w:bCs w:val="false"/>
          <w:i w:val="false"/>
          <w:iCs w:val="false"/>
          <w:color w:val="111827"/>
          <w:sz w:val="22"/>
          <w:szCs w:val="22"/>
        </w:rPr>
        <w:t xml:space="preserve">Bir Amazon satıcısının en zor kararlarından biri: Alibaba'da yeni bir ürün gördünüz, daha önce Amazon'da satılmamış, BSR'ı yok. Klasik araştırma araçları burada size sıfır bilgi verir. Çünkü geçmişe bakarlar.</w:t>
      </w:r>
    </w:p>
    <w:p>
      <w:pPr>
        <w:pStyle w:val="Heading3"/>
        <w:spacing w:after="120" w:before="240"/>
      </w:pPr>
      <w:r>
        <w:rPr>
          <w:rFonts w:ascii="Georgia" w:cs="Georgia" w:eastAsia="Georgia" w:hAnsi="Georgia"/>
          <w:b/>
          <w:bCs/>
          <w:color w:val="2563EB"/>
          <w:sz w:val="24"/>
          <w:szCs w:val="24"/>
        </w:rPr>
        <w:t xml:space="preserve">Flipkart'ın Çözümü: Görsel + Özellik + ML</w:t>
      </w:r>
    </w:p>
    <w:p>
      <w:pPr>
        <w:spacing w:after="100" w:before="80"/>
        <w:jc w:val="both"/>
      </w:pPr>
      <w:r>
        <w:rPr>
          <w:rFonts w:ascii="Georgia" w:cs="Georgia" w:eastAsia="Georgia" w:hAnsi="Georgia"/>
          <w:b w:val="false"/>
          <w:bCs w:val="false"/>
          <w:i w:val="false"/>
          <w:iCs w:val="false"/>
          <w:color w:val="111827"/>
          <w:sz w:val="22"/>
          <w:szCs w:val="22"/>
        </w:rPr>
        <w:t xml:space="preserve">Hindistan'ın en büyük e-ticaret platformu Flipkart'ın araştırma ekibi, bu sorunu ScienceDirect'te yayımlanan bir makaleyle (Expert Systems with Applications, 2025) ele aldı. Geliştirdikleri çok-modlu framework: ürün görseli, fiyat, kategori ve ağırlık bilgisini birleştirerek EfficientNet (görsel yapay zeka) ve CatBoost (makine öğrenmesi) ile potansiyel skoru üretiyor.</w:t>
      </w:r>
    </w:p>
    <w:p>
      <w:pPr>
        <w:spacing w:after="0" w:before="80"/>
      </w:pPr>
      <w:r>
        <w:t xml:space="preserve"/>
      </w:r>
    </w:p>
    <w:p>
      <w:pPr>
        <w:spacing w:after="100" w:before="80"/>
        <w:jc w:val="both"/>
      </w:pPr>
      <w:r>
        <w:rPr>
          <w:rFonts w:ascii="Georgia" w:cs="Georgia" w:eastAsia="Georgia" w:hAnsi="Georgia"/>
          <w:b w:val="false"/>
          <w:bCs w:val="false"/>
          <w:i w:val="false"/>
          <w:iCs w:val="false"/>
          <w:color w:val="111827"/>
          <w:sz w:val="22"/>
          <w:szCs w:val="22"/>
        </w:rPr>
        <w:t xml:space="preserve">Sonuç: BSR geçmişi olmayan tamamen yeni ürünlerde bile, bu sistem rakip yöntemleri yüzde yirmi üç oranında geride bıraktı.</w:t>
      </w:r>
    </w:p>
    <w:p>
      <w:pPr>
        <w:pStyle w:val="Heading3"/>
        <w:spacing w:after="120" w:before="240"/>
      </w:pPr>
      <w:r>
        <w:rPr>
          <w:rFonts w:ascii="Georgia" w:cs="Georgia" w:eastAsia="Georgia" w:hAnsi="Georgia"/>
          <w:b/>
          <w:bCs/>
          <w:color w:val="2563EB"/>
          <w:sz w:val="24"/>
          <w:szCs w:val="24"/>
        </w:rPr>
        <w:t xml:space="preserve">Gerçek Hayat Uygulaması</w:t>
      </w:r>
    </w:p>
    <w:p>
      <w:pPr>
        <w:spacing w:after="100" w:before="80"/>
        <w:jc w:val="both"/>
      </w:pPr>
      <w:r>
        <w:rPr>
          <w:rFonts w:ascii="Georgia" w:cs="Georgia" w:eastAsia="Georgia" w:hAnsi="Georgia"/>
          <w:b w:val="false"/>
          <w:bCs w:val="false"/>
          <w:i w:val="false"/>
          <w:iCs w:val="false"/>
          <w:color w:val="111827"/>
          <w:sz w:val="22"/>
          <w:szCs w:val="22"/>
        </w:rPr>
        <w:t xml:space="preserve">Alibaba'da 4.50 dolara bulduğunuz bir yoga matını düşünün. Bu ürünün Amazon'da $24.99'dan satılıp satılmayacağını nasıl bileceksiniz? Formül şöyle çalışıyor:</w:t>
      </w:r>
    </w:p>
    <w:p>
      <w:pPr>
        <w:pStyle w:val="ListParagraph"/>
        <w:numPr>
          <w:ilvl w:val="0"/>
          <w:numId w:val="3"/>
        </w:numPr>
        <w:spacing w:after="60" w:before="60"/>
      </w:pPr>
      <w:r>
        <w:rPr>
          <w:rFonts w:ascii="Georgia" w:cs="Georgia" w:eastAsia="Georgia" w:hAnsi="Georgia"/>
          <w:b w:val="false"/>
          <w:bCs w:val="false"/>
          <w:i w:val="false"/>
          <w:iCs w:val="false"/>
          <w:color w:val="111827"/>
          <w:sz w:val="21"/>
          <w:szCs w:val="21"/>
        </w:rPr>
        <w:t xml:space="preserve">Ürün görseli → EfficientNet → görsel kalite ve kategori skoru</w:t>
      </w:r>
    </w:p>
    <w:p>
      <w:pPr>
        <w:pStyle w:val="ListParagraph"/>
        <w:numPr>
          <w:ilvl w:val="0"/>
          <w:numId w:val="3"/>
        </w:numPr>
        <w:spacing w:after="60" w:before="60"/>
      </w:pPr>
      <w:r>
        <w:rPr>
          <w:rFonts w:ascii="Georgia" w:cs="Georgia" w:eastAsia="Georgia" w:hAnsi="Georgia"/>
          <w:b w:val="false"/>
          <w:bCs w:val="false"/>
          <w:i w:val="false"/>
          <w:iCs w:val="false"/>
          <w:color w:val="111827"/>
          <w:sz w:val="21"/>
          <w:szCs w:val="21"/>
        </w:rPr>
        <w:t xml:space="preserve">Fiyat aralığı → $15-$50 ideal band kontrolü</w:t>
      </w:r>
    </w:p>
    <w:p>
      <w:pPr>
        <w:pStyle w:val="ListParagraph"/>
        <w:numPr>
          <w:ilvl w:val="0"/>
          <w:numId w:val="3"/>
        </w:numPr>
        <w:spacing w:after="60" w:before="60"/>
      </w:pPr>
      <w:r>
        <w:rPr>
          <w:rFonts w:ascii="Georgia" w:cs="Georgia" w:eastAsia="Georgia" w:hAnsi="Georgia"/>
          <w:b w:val="false"/>
          <w:bCs w:val="false"/>
          <w:i w:val="false"/>
          <w:iCs w:val="false"/>
          <w:color w:val="111827"/>
          <w:sz w:val="21"/>
          <w:szCs w:val="21"/>
        </w:rPr>
        <w:t xml:space="preserve">Ağırlık ve boyut → FBA lojistik uygunluk skoru</w:t>
      </w:r>
    </w:p>
    <w:p>
      <w:pPr>
        <w:pStyle w:val="ListParagraph"/>
        <w:numPr>
          <w:ilvl w:val="0"/>
          <w:numId w:val="3"/>
        </w:numPr>
        <w:spacing w:after="60" w:before="60"/>
      </w:pPr>
      <w:r>
        <w:rPr>
          <w:rFonts w:ascii="Georgia" w:cs="Georgia" w:eastAsia="Georgia" w:hAnsi="Georgia"/>
          <w:b w:val="false"/>
          <w:bCs w:val="false"/>
          <w:i w:val="false"/>
          <w:iCs w:val="false"/>
          <w:color w:val="111827"/>
          <w:sz w:val="21"/>
          <w:szCs w:val="21"/>
        </w:rPr>
        <w:t xml:space="preserve">Tüm sinyaller → CatBoost → 0-100 potansiyel skoru</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W w:type="dxa" w:w="9026"/>
            <w:tcBorders>
              <w:top w:val="single" w:color="E5E7EB" w:sz="1"/>
              <w:left w:val="single" w:color="7C3AED" w:sz="16"/>
              <w:bottom w:val="single" w:color="E5E7EB" w:sz="1"/>
              <w:right w:val="single" w:color="E5E7EB" w:sz="1"/>
            </w:tcBorders>
            <w:shd w:fill="F3F4F6" w:val="clear"/>
            <w:tcMar>
              <w:top w:type="dxa" w:w="120"/>
              <w:left w:type="dxa" w:w="240"/>
              <w:bottom w:type="dxa" w:w="120"/>
              <w:right w:type="dxa" w:w="180"/>
            </w:tcMar>
          </w:tcPr>
          <w:p>
            <w:pPr>
              <w:spacing w:after="0" w:before="0"/>
            </w:pPr>
            <w:r>
              <w:rPr>
                <w:rFonts w:ascii="Georgia" w:cs="Georgia" w:eastAsia="Georgia" w:hAnsi="Georgia"/>
                <w:b w:val="false"/>
                <w:bCs w:val="false"/>
                <w:i/>
                <w:iCs/>
                <w:color w:val="374151"/>
                <w:sz w:val="21"/>
                <w:szCs w:val="21"/>
              </w:rPr>
              <w:t xml:space="preserve">"Bu ürünün potansiyeli 78/100. Marj skoru yüksek, lojistik uygun, fiyat bandı ideal. BSR geçmişi olmadan bu tahmini yapabilmek — işte akademik araştırmanın satıcılığa katkısı bu."</w:t>
            </w:r>
          </w:p>
        </w:tc>
      </w:tr>
    </w:tbl>
    <w:p>
      <w:pPr>
        <w:spacing w:after="0" w:before="160"/>
      </w:pPr>
      <w:r>
        <w:t xml:space="preserve"/>
      </w:r>
    </w:p>
    <w:p>
      <w:pPr>
        <w:pStyle w:val="Heading1"/>
        <w:pBdr>
          <w:bottom w:val="single" w:color="2563EB" w:sz="8"/>
        </w:pBdr>
        <w:spacing w:after="240" w:before="480"/>
      </w:pPr>
      <w:r>
        <w:rPr>
          <w:rFonts w:ascii="Georgia" w:cs="Georgia" w:eastAsia="Georgia" w:hAnsi="Georgia"/>
          <w:b/>
          <w:bCs/>
          <w:color w:val="1B3A6B"/>
          <w:sz w:val="40"/>
          <w:szCs w:val="40"/>
        </w:rPr>
        <w:t xml:space="preserve">4. Hangi Yorum Gerçekten Faydalı?</w:t>
      </w:r>
    </w:p>
    <w:p>
      <w:pPr>
        <w:spacing w:after="100" w:before="80"/>
        <w:jc w:val="both"/>
      </w:pPr>
      <w:r>
        <w:rPr>
          <w:rFonts w:ascii="Georgia" w:cs="Georgia" w:eastAsia="Georgia" w:hAnsi="Georgia"/>
          <w:b w:val="false"/>
          <w:bCs w:val="false"/>
          <w:i w:val="false"/>
          <w:iCs w:val="false"/>
          <w:color w:val="111827"/>
          <w:sz w:val="22"/>
          <w:szCs w:val="22"/>
        </w:rPr>
        <w:t xml:space="preserve">Bir ürünün 847 yorumu var. Hepsini okumak saatlerce sürer. Ama bu 847 yorumun size söylemek istediği asıl şeyi bulmak için hepsini okumak zorunda mısınız?</w:t>
      </w:r>
    </w:p>
    <w:p>
      <w:pPr>
        <w:pStyle w:val="Heading3"/>
        <w:spacing w:after="120" w:before="240"/>
      </w:pPr>
      <w:r>
        <w:rPr>
          <w:rFonts w:ascii="Georgia" w:cs="Georgia" w:eastAsia="Georgia" w:hAnsi="Georgia"/>
          <w:b/>
          <w:bCs/>
          <w:color w:val="2563EB"/>
          <w:sz w:val="24"/>
          <w:szCs w:val="24"/>
        </w:rPr>
        <w:t xml:space="preserve">Üç Faktör, Yüzde Doksan Altı Doğruluk</w:t>
      </w:r>
    </w:p>
    <w:p>
      <w:pPr>
        <w:spacing w:after="100" w:before="80"/>
        <w:jc w:val="both"/>
      </w:pPr>
      <w:r>
        <w:rPr>
          <w:rFonts w:ascii="Georgia" w:cs="Georgia" w:eastAsia="Georgia" w:hAnsi="Georgia"/>
          <w:b w:val="false"/>
          <w:bCs w:val="false"/>
          <w:i w:val="false"/>
          <w:iCs w:val="false"/>
          <w:color w:val="111827"/>
          <w:sz w:val="22"/>
          <w:szCs w:val="22"/>
        </w:rPr>
        <w:t xml:space="preserve">Aralık 2024'te arXiv'de yayımlanan araştırma (2412.02884), hangi yorumların gerçekten yardımcı olduğunu yüzde doksan altı doğrulukla tahmin eden bir model geliştirdi. Ve şaşırtıcı olan şu: Bu başarıyı sağlayan yalnızca üç metadata özelliği.</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800"/>
        <w:gridCol w:w="3400"/>
        <w:gridCol w:w="2826"/>
      </w:tblGrid>
      <w:tr>
        <w:tc>
          <w:tcPr>
            <w:tcW w:type="dxa" w:w="28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pPr>
              <w:spacing w:after="0" w:before="0"/>
            </w:pPr>
            <w:r>
              <w:rPr>
                <w:rFonts w:ascii="Georgia" w:cs="Georgia" w:eastAsia="Georgia" w:hAnsi="Georgia"/>
                <w:b/>
                <w:bCs/>
                <w:i w:val="false"/>
                <w:iCs w:val="false"/>
                <w:color w:val="FFFFFF"/>
                <w:sz w:val="19"/>
                <w:szCs w:val="19"/>
              </w:rPr>
              <w:t xml:space="preserve">Özellik</w:t>
            </w:r>
          </w:p>
        </w:tc>
        <w:tc>
          <w:tcPr>
            <w:tcW w:type="dxa" w:w="34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pPr>
              <w:spacing w:after="0" w:before="0"/>
            </w:pPr>
            <w:r>
              <w:rPr>
                <w:rFonts w:ascii="Georgia" w:cs="Georgia" w:eastAsia="Georgia" w:hAnsi="Georgia"/>
                <w:b/>
                <w:bCs/>
                <w:i w:val="false"/>
                <w:iCs w:val="false"/>
                <w:color w:val="FFFFFF"/>
                <w:sz w:val="19"/>
                <w:szCs w:val="19"/>
              </w:rPr>
              <w:t xml:space="preserve">Açıklama</w:t>
            </w:r>
          </w:p>
        </w:tc>
        <w:tc>
          <w:tcPr>
            <w:tcW w:type="dxa" w:w="2826"/>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pPr>
              <w:spacing w:after="0" w:before="0"/>
            </w:pPr>
            <w:r>
              <w:rPr>
                <w:rFonts w:ascii="Georgia" w:cs="Georgia" w:eastAsia="Georgia" w:hAnsi="Georgia"/>
                <w:b/>
                <w:bCs/>
                <w:i w:val="false"/>
                <w:iCs w:val="false"/>
                <w:color w:val="FFFFFF"/>
                <w:sz w:val="19"/>
                <w:szCs w:val="19"/>
              </w:rPr>
              <w:t xml:space="preserve">Ağırlık</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Fotoğraf sayısı</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Yorumda kaç görsel var?</w:t>
            </w:r>
          </w:p>
        </w:tc>
        <w:tc>
          <w:tcPr>
            <w:tcW w:type="dxa" w:w="28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En güçlü sinyal — %35</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Yorumcu güvenilirliği</w:t>
            </w:r>
          </w:p>
        </w:tc>
        <w:tc>
          <w:tcPr>
            <w:tcW w:type="dxa" w:w="3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Bu kullanıcı daha önce kaç faydalı oy aldı?</w:t>
            </w:r>
          </w:p>
        </w:tc>
        <w:tc>
          <w:tcPr>
            <w:tcW w:type="dxa" w:w="28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İkinci güçlü — %30</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Yorumun yaşı</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7 ile 180 gün arası en ideal</w:t>
            </w:r>
          </w:p>
        </w:tc>
        <w:tc>
          <w:tcPr>
            <w:tcW w:type="dxa" w:w="28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Taze ama olgunlaşmış — %20</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Metin uzunluğu</w:t>
            </w:r>
          </w:p>
        </w:tc>
        <w:tc>
          <w:tcPr>
            <w:tcW w:type="dxa" w:w="3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Kısa yorumlar nadiren yardımcı</w:t>
            </w:r>
          </w:p>
        </w:tc>
        <w:tc>
          <w:tcPr>
            <w:tcW w:type="dxa" w:w="28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Georgia" w:cs="Georgia" w:eastAsia="Georgia" w:hAnsi="Georgia"/>
                <w:b w:val="false"/>
                <w:bCs w:val="false"/>
                <w:i w:val="false"/>
                <w:iCs w:val="false"/>
                <w:color w:val="111827"/>
                <w:sz w:val="19"/>
                <w:szCs w:val="19"/>
              </w:rPr>
              <w:t xml:space="preserve">Destekleyici — %15</w:t>
            </w:r>
          </w:p>
        </w:tc>
      </w:tr>
    </w:tbl>
    <w:p>
      <w:pPr>
        <w:spacing w:after="0" w:before="80"/>
      </w:pPr>
      <w:r>
        <w:t xml:space="preserve"/>
      </w:r>
    </w:p>
    <w:p>
      <w:pPr>
        <w:spacing w:after="100" w:before="80"/>
        <w:jc w:val="both"/>
      </w:pPr>
      <w:r>
        <w:rPr>
          <w:rFonts w:ascii="Georgia" w:cs="Georgia" w:eastAsia="Georgia" w:hAnsi="Georgia"/>
          <w:b w:val="false"/>
          <w:bCs w:val="false"/>
          <w:i w:val="false"/>
          <w:iCs w:val="false"/>
          <w:color w:val="111827"/>
          <w:sz w:val="22"/>
          <w:szCs w:val="22"/>
        </w:rPr>
        <w:t xml:space="preserve">Bu bulgu şunu söylüyor: Bir yorumun faydalı olup olmadığı büyük ölçüde ne yazdığından değil, kim yazdığından ve nasıl yazdığından belli oluyor. Fotoğraflı, deneyimli yorumcuların nispeten taze yorumları, uzun metin içeren ancak fotoğrafsız yorumlardan çok daha değerli.</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W w:type="dxa" w:w="9026"/>
            <w:tcBorders>
              <w:top w:val="single" w:color="E5E7EB" w:sz="1"/>
              <w:left w:val="single" w:color="2563EB" w:sz="16"/>
              <w:bottom w:val="single" w:color="E5E7EB" w:sz="1"/>
              <w:right w:val="single" w:color="E5E7EB" w:sz="1"/>
            </w:tcBorders>
            <w:shd w:fill="EFF6FF" w:val="clear"/>
            <w:tcMar>
              <w:top w:type="dxa" w:w="120"/>
              <w:left w:type="dxa" w:w="200"/>
              <w:bottom w:type="dxa" w:w="120"/>
              <w:right w:type="dxa" w:w="180"/>
            </w:tcMar>
          </w:tcPr>
          <w:p>
            <w:pPr>
              <w:spacing w:after="60" w:before="0"/>
            </w:pPr>
            <w:r>
              <w:rPr>
                <w:rFonts w:ascii="Georgia" w:cs="Georgia" w:eastAsia="Georgia" w:hAnsi="Georgia"/>
                <w:b/>
                <w:bCs/>
                <w:i w:val="false"/>
                <w:iCs w:val="false"/>
                <w:color w:val="2563EB"/>
                <w:sz w:val="20"/>
                <w:szCs w:val="20"/>
              </w:rPr>
              <w:t xml:space="preserve">Pratik Sonuç</w:t>
            </w:r>
          </w:p>
          <w:p>
            <w:pPr>
              <w:spacing w:after="0" w:before="0"/>
            </w:pPr>
            <w:r>
              <w:rPr>
                <w:rFonts w:ascii="Georgia" w:cs="Georgia" w:eastAsia="Georgia" w:hAnsi="Georgia"/>
                <w:b w:val="false"/>
                <w:bCs w:val="false"/>
                <w:i w:val="false"/>
                <w:iCs w:val="false"/>
                <w:color w:val="374151"/>
                <w:sz w:val="21"/>
                <w:szCs w:val="21"/>
              </w:rPr>
              <w:t xml:space="preserve">500 yorumu taramak yerine, bu algoritmayı kullanan bir araç size en kritik 20 yorumu saniyeler içinde gösteriyor. Ürünün gerçek sorunlarını 10 saniyede anlıyorsunuz.</w:t>
            </w:r>
          </w:p>
        </w:tc>
      </w:tr>
    </w:tbl>
    <w:p>
      <w:pPr>
        <w:spacing w:after="0" w:before="160"/>
      </w:pPr>
      <w:r>
        <w:t xml:space="preserve"/>
      </w:r>
    </w:p>
    <w:p>
      <w:pPr>
        <w:pStyle w:val="Heading1"/>
        <w:pBdr>
          <w:bottom w:val="single" w:color="2563EB" w:sz="8"/>
        </w:pBdr>
        <w:spacing w:after="240" w:before="480"/>
      </w:pPr>
      <w:r>
        <w:rPr>
          <w:rFonts w:ascii="Georgia" w:cs="Georgia" w:eastAsia="Georgia" w:hAnsi="Georgia"/>
          <w:b/>
          <w:bCs/>
          <w:color w:val="1B3A6B"/>
          <w:sz w:val="40"/>
          <w:szCs w:val="40"/>
        </w:rPr>
        <w:t xml:space="preserve">5. LLM'lerle Arama Alaka Kalitesi: CoT + RAG</w:t>
      </w:r>
    </w:p>
    <w:p>
      <w:pPr>
        <w:spacing w:after="100" w:before="80"/>
        <w:jc w:val="both"/>
      </w:pPr>
      <w:r>
        <w:rPr>
          <w:rFonts w:ascii="Georgia" w:cs="Georgia" w:eastAsia="Georgia" w:hAnsi="Georgia"/>
          <w:b w:val="false"/>
          <w:bCs w:val="false"/>
          <w:i w:val="false"/>
          <w:iCs w:val="false"/>
          <w:color w:val="111827"/>
          <w:sz w:val="22"/>
          <w:szCs w:val="22"/>
        </w:rPr>
        <w:t xml:space="preserve">Keyword araştırmasının en zor sorusu şudur: Bu keyword'ü arayan biri gerçekten bu ürünü satın alır mı? Yüksek arama hacmi iyi bir işaret — ama dönüşüm potansiyelinin gerçek ölçüsü değil.</w:t>
      </w:r>
    </w:p>
    <w:p>
      <w:pPr>
        <w:pStyle w:val="Heading3"/>
        <w:spacing w:after="120" w:before="240"/>
      </w:pPr>
      <w:r>
        <w:rPr>
          <w:rFonts w:ascii="Georgia" w:cs="Georgia" w:eastAsia="Georgia" w:hAnsi="Georgia"/>
          <w:b/>
          <w:bCs/>
          <w:color w:val="2563EB"/>
          <w:sz w:val="24"/>
          <w:szCs w:val="24"/>
        </w:rPr>
        <w:t xml:space="preserve">Zincir Düşünce + Bağlam İçi Öğrenme</w:t>
      </w:r>
    </w:p>
    <w:p>
      <w:pPr>
        <w:spacing w:after="100" w:before="80"/>
        <w:jc w:val="both"/>
      </w:pPr>
      <w:r>
        <w:rPr>
          <w:rFonts w:ascii="Georgia" w:cs="Georgia" w:eastAsia="Georgia" w:hAnsi="Georgia"/>
          <w:b w:val="false"/>
          <w:bCs w:val="false"/>
          <w:i w:val="false"/>
          <w:iCs w:val="false"/>
          <w:color w:val="111827"/>
          <w:sz w:val="22"/>
          <w:szCs w:val="22"/>
        </w:rPr>
        <w:t xml:space="preserve">Şubat 2025'te ACM'de yayımlanan araştırma (arXiv:2502.15990), büyük dil modellerinin üç tekniğin kombinasyonuyla — Chain-of-Thought prompting, In-Context Learning ve RAG — sorgu-ürün alaka etiketlemesinde insan etiketçi seviyesine yaklaştığını gösterdi.</w:t>
      </w:r>
    </w:p>
    <w:p>
      <w:pPr>
        <w:spacing w:after="0" w:before="80"/>
      </w:pPr>
      <w:r>
        <w:t xml:space="preserve"/>
      </w:r>
    </w:p>
    <w:p>
      <w:pPr>
        <w:spacing w:after="100" w:before="80"/>
        <w:jc w:val="both"/>
      </w:pPr>
      <w:r>
        <w:rPr>
          <w:rFonts w:ascii="Georgia" w:cs="Georgia" w:eastAsia="Georgia" w:hAnsi="Georgia"/>
          <w:b w:val="false"/>
          <w:bCs w:val="false"/>
          <w:i w:val="false"/>
          <w:iCs w:val="false"/>
          <w:color w:val="111827"/>
          <w:sz w:val="22"/>
          <w:szCs w:val="22"/>
        </w:rPr>
        <w:t xml:space="preserve">Pratik anlamı: "yoga mat non-slip" araması yapan biri için, bu araştırma metodolojisi kullanıldığında sistem şunu söyleyebiliyor: Bu arama transactional — alım kararı verilmiş. Buyer stage: karar aşamasında. Dönüşüm potansiyeli: yüksek. Bu bilgiyle listing başlığını ve PPC bütçesini çok daha isabetli konfigüre edebilirsiniz.</w:t>
      </w:r>
    </w:p>
    <w:p>
      <w:pPr>
        <w:spacing w:after="0" w:before="160"/>
      </w:pPr>
      <w:r>
        <w:t xml:space="preserve"/>
      </w:r>
    </w:p>
    <w:p>
      <w:pPr>
        <w:pStyle w:val="Heading1"/>
        <w:pBdr>
          <w:bottom w:val="single" w:color="2563EB" w:sz="8"/>
        </w:pBdr>
        <w:spacing w:after="240" w:before="480"/>
      </w:pPr>
      <w:r>
        <w:rPr>
          <w:rFonts w:ascii="Georgia" w:cs="Georgia" w:eastAsia="Georgia" w:hAnsi="Georgia"/>
          <w:b/>
          <w:bCs/>
          <w:color w:val="1B3A6B"/>
          <w:sz w:val="40"/>
          <w:szCs w:val="40"/>
        </w:rPr>
        <w:t xml:space="preserve">6. Görselten Listing: Yeni Nesil İçerik Üretimi</w:t>
      </w:r>
    </w:p>
    <w:p>
      <w:pPr>
        <w:spacing w:after="100" w:before="80"/>
        <w:jc w:val="both"/>
      </w:pPr>
      <w:r>
        <w:rPr>
          <w:rFonts w:ascii="Georgia" w:cs="Georgia" w:eastAsia="Georgia" w:hAnsi="Georgia"/>
          <w:b w:val="false"/>
          <w:bCs w:val="false"/>
          <w:i w:val="false"/>
          <w:iCs w:val="false"/>
          <w:color w:val="111827"/>
          <w:sz w:val="22"/>
          <w:szCs w:val="22"/>
        </w:rPr>
        <w:t xml:space="preserve">Ekim 2025'te arXiv'de yayımlanan araştırma (2510.21835), Amazon ürün içerik üretiminde yeni bir çığır açtı: tek bir ürün görselinden başlık, beş bullet point ve açıklama üretebilen çok-görevli bir Vision Language Model sistemi.</w:t>
      </w:r>
    </w:p>
    <w:p>
      <w:pPr>
        <w:pStyle w:val="Heading3"/>
        <w:spacing w:after="120" w:before="240"/>
      </w:pPr>
      <w:r>
        <w:rPr>
          <w:rFonts w:ascii="Georgia" w:cs="Georgia" w:eastAsia="Georgia" w:hAnsi="Georgia"/>
          <w:b/>
          <w:bCs/>
          <w:color w:val="2563EB"/>
          <w:sz w:val="24"/>
          <w:szCs w:val="24"/>
        </w:rPr>
        <w:t xml:space="preserve">Neden Bu Önemli?</w:t>
      </w:r>
    </w:p>
    <w:p>
      <w:pPr>
        <w:spacing w:after="100" w:before="80"/>
        <w:jc w:val="both"/>
      </w:pPr>
      <w:r>
        <w:rPr>
          <w:rFonts w:ascii="Georgia" w:cs="Georgia" w:eastAsia="Georgia" w:hAnsi="Georgia"/>
          <w:b w:val="false"/>
          <w:bCs w:val="false"/>
          <w:i w:val="false"/>
          <w:iCs w:val="false"/>
          <w:color w:val="111827"/>
          <w:sz w:val="22"/>
          <w:szCs w:val="22"/>
        </w:rPr>
        <w:t xml:space="preserve">Mevcut yapay zeka listing araçlarının en büyük sorunu hallüsinasyondur — var olmayan özellikler uydurmak. Bu araştırmanın çözümü iki aşamalı hiyerarşik üretim:</w:t>
      </w:r>
    </w:p>
    <w:p>
      <w:pPr>
        <w:pStyle w:val="ListParagraph"/>
        <w:numPr>
          <w:ilvl w:val="0"/>
          <w:numId w:val="3"/>
        </w:numPr>
        <w:spacing w:after="60" w:before="60"/>
      </w:pPr>
      <w:r>
        <w:rPr>
          <w:rFonts w:ascii="Georgia" w:cs="Georgia" w:eastAsia="Georgia" w:hAnsi="Georgia"/>
          <w:b w:val="false"/>
          <w:bCs w:val="false"/>
          <w:i w:val="false"/>
          <w:iCs w:val="false"/>
          <w:color w:val="111827"/>
          <w:sz w:val="21"/>
          <w:szCs w:val="21"/>
        </w:rPr>
        <w:t xml:space="preserve">Görsel → Renk, malzeme, kategori, hedef kitle otomatik çıkarılır</w:t>
      </w:r>
    </w:p>
    <w:p>
      <w:pPr>
        <w:pStyle w:val="ListParagraph"/>
        <w:numPr>
          <w:ilvl w:val="0"/>
          <w:numId w:val="3"/>
        </w:numPr>
        <w:spacing w:after="60" w:before="60"/>
      </w:pPr>
      <w:r>
        <w:rPr>
          <w:rFonts w:ascii="Georgia" w:cs="Georgia" w:eastAsia="Georgia" w:hAnsi="Georgia"/>
          <w:b w:val="false"/>
          <w:bCs w:val="false"/>
          <w:i w:val="false"/>
          <w:iCs w:val="false"/>
          <w:color w:val="111827"/>
          <w:sz w:val="21"/>
          <w:szCs w:val="21"/>
        </w:rPr>
        <w:t xml:space="preserve">Bu doğrulanmış özellikler prompt'a gömülür → metin üretimi başlar</w:t>
      </w:r>
    </w:p>
    <w:p>
      <w:pPr>
        <w:spacing w:after="0" w:before="80"/>
      </w:pPr>
      <w:r>
        <w:t xml:space="preserve"/>
      </w:r>
    </w:p>
    <w:p>
      <w:pPr>
        <w:spacing w:after="100" w:before="80"/>
        <w:jc w:val="both"/>
      </w:pPr>
      <w:r>
        <w:rPr>
          <w:rFonts w:ascii="Georgia" w:cs="Georgia" w:eastAsia="Georgia" w:hAnsi="Georgia"/>
          <w:b w:val="false"/>
          <w:bCs w:val="false"/>
          <w:i w:val="false"/>
          <w:iCs w:val="false"/>
          <w:color w:val="111827"/>
          <w:sz w:val="22"/>
          <w:szCs w:val="22"/>
        </w:rPr>
        <w:t xml:space="preserve">Sonuç: Hallüsinasyon dramatik biçimde azalıyor. Çünkü sistem önce görselden ne gördüğünü anlıyor, sonra o anlayışa dayanarak yazar. Alibaba'dan bulduğunuz bir ürün görselini yapıştırın — Amazon'a hazır listing taslağı otomatik oluşsun.</w:t>
      </w:r>
    </w:p>
    <w:p>
      <w:pPr>
        <w:spacing w:after="0" w:before="160"/>
      </w:pPr>
      <w:r>
        <w:t xml:space="preserve"/>
      </w:r>
    </w:p>
    <w:p>
      <w:pPr>
        <w:pStyle w:val="Heading1"/>
        <w:pBdr>
          <w:bottom w:val="single" w:color="2563EB" w:sz="8"/>
        </w:pBdr>
        <w:spacing w:after="240" w:before="480"/>
      </w:pPr>
      <w:r>
        <w:rPr>
          <w:rFonts w:ascii="Georgia" w:cs="Georgia" w:eastAsia="Georgia" w:hAnsi="Georgia"/>
          <w:b/>
          <w:bCs/>
          <w:color w:val="1B3A6B"/>
          <w:sz w:val="40"/>
          <w:szCs w:val="40"/>
        </w:rPr>
        <w:t xml:space="preserve">7. Tüm Akademik Kaynaklar</w:t>
      </w:r>
    </w:p>
    <w:p>
      <w:pPr>
        <w:spacing w:after="100" w:before="80"/>
        <w:jc w:val="both"/>
      </w:pPr>
      <w:r>
        <w:rPr>
          <w:rFonts w:ascii="Georgia" w:cs="Georgia" w:eastAsia="Georgia" w:hAnsi="Georgia"/>
          <w:b w:val="false"/>
          <w:bCs w:val="false"/>
          <w:i w:val="false"/>
          <w:iCs w:val="false"/>
          <w:color w:val="111827"/>
          <w:sz w:val="22"/>
          <w:szCs w:val="22"/>
        </w:rPr>
        <w:t xml:space="preserve">Bu yazıda atıfta bulunulan tüm akademik çalışmalar aşağıda listelenmiştir. Hepsi hakemli dergi veya konferanslarda yayımlanmıştır.</w:t>
      </w:r>
    </w:p>
    <w:p>
      <w:pPr>
        <w:spacing w:after="0" w:before="80"/>
      </w:pPr>
      <w:r>
        <w:t xml:space="preserve"/>
      </w:r>
    </w:p>
    <w:p>
      <w:pPr>
        <w:pStyle w:val="ListParagraph"/>
        <w:numPr>
          <w:ilvl w:val="0"/>
          <w:numId w:val="2"/>
        </w:numPr>
        <w:spacing w:after="60" w:before="60"/>
      </w:pPr>
      <w:r>
        <w:rPr>
          <w:rFonts w:ascii="Georgia" w:cs="Georgia" w:eastAsia="Georgia" w:hAnsi="Georgia"/>
          <w:b w:val="false"/>
          <w:bCs w:val="false"/>
          <w:i w:val="false"/>
          <w:iCs w:val="false"/>
          <w:color w:val="111827"/>
          <w:sz w:val="21"/>
          <w:szCs w:val="21"/>
        </w:rPr>
        <w:t xml:space="preserve">ABSA Sistematik Tarama — arXiv:2311.10777 · Springer Artificial Intelligence Review (2024). 727 çalışma, 2008–2024.</w:t>
      </w:r>
    </w:p>
    <w:p>
      <w:pPr>
        <w:pStyle w:val="ListParagraph"/>
        <w:numPr>
          <w:ilvl w:val="0"/>
          <w:numId w:val="2"/>
        </w:numPr>
        <w:spacing w:after="60" w:before="60"/>
      </w:pPr>
      <w:r>
        <w:rPr>
          <w:rFonts w:ascii="Georgia" w:cs="Georgia" w:eastAsia="Georgia" w:hAnsi="Georgia"/>
          <w:b w:val="false"/>
          <w:bCs w:val="false"/>
          <w:i w:val="false"/>
          <w:iCs w:val="false"/>
          <w:color w:val="111827"/>
          <w:sz w:val="21"/>
          <w:szCs w:val="21"/>
        </w:rPr>
        <w:t xml:space="preserve">ABSA &amp; XAI — MDPI Big Data and Cognitive Computing 8(11) (2024). DeBERTa-V3 + Açıklanabilir AI.</w:t>
      </w:r>
    </w:p>
    <w:p>
      <w:pPr>
        <w:pStyle w:val="ListParagraph"/>
        <w:numPr>
          <w:ilvl w:val="0"/>
          <w:numId w:val="2"/>
        </w:numPr>
        <w:spacing w:after="60" w:before="60"/>
      </w:pPr>
      <w:r>
        <w:rPr>
          <w:rFonts w:ascii="Georgia" w:cs="Georgia" w:eastAsia="Georgia" w:hAnsi="Georgia"/>
          <w:b w:val="false"/>
          <w:bCs w:val="false"/>
          <w:i w:val="false"/>
          <w:iCs w:val="false"/>
          <w:color w:val="111827"/>
          <w:sz w:val="21"/>
          <w:szCs w:val="21"/>
        </w:rPr>
        <w:t xml:space="preserve">Review Yardımlılık Tahmini — arXiv:2412.02884 · Kirimlioglu et al., Aralık 2024. MLP-64, %96.91 doğruluk.</w:t>
      </w:r>
    </w:p>
    <w:p>
      <w:pPr>
        <w:pStyle w:val="ListParagraph"/>
        <w:numPr>
          <w:ilvl w:val="0"/>
          <w:numId w:val="2"/>
        </w:numPr>
        <w:spacing w:after="60" w:before="60"/>
      </w:pPr>
      <w:r>
        <w:rPr>
          <w:rFonts w:ascii="Georgia" w:cs="Georgia" w:eastAsia="Georgia" w:hAnsi="Georgia"/>
          <w:b w:val="false"/>
          <w:bCs w:val="false"/>
          <w:i w:val="false"/>
          <w:iCs w:val="false"/>
          <w:color w:val="111827"/>
          <w:sz w:val="21"/>
          <w:szCs w:val="21"/>
        </w:rPr>
        <w:t xml:space="preserve">Multimodal Review Helpfulness — arXiv:2402.18107. Görsel + metin, %8–12 F1 iyileşme.</w:t>
      </w:r>
    </w:p>
    <w:p>
      <w:pPr>
        <w:pStyle w:val="ListParagraph"/>
        <w:numPr>
          <w:ilvl w:val="0"/>
          <w:numId w:val="2"/>
        </w:numPr>
        <w:spacing w:after="60" w:before="60"/>
      </w:pPr>
      <w:r>
        <w:rPr>
          <w:rFonts w:ascii="Georgia" w:cs="Georgia" w:eastAsia="Georgia" w:hAnsi="Georgia"/>
          <w:b w:val="false"/>
          <w:bCs w:val="false"/>
          <w:i w:val="false"/>
          <w:iCs w:val="false"/>
          <w:color w:val="111827"/>
          <w:sz w:val="21"/>
          <w:szCs w:val="21"/>
        </w:rPr>
        <w:t xml:space="preserve">GAN-Event LSTM Talep Tahmini — arXiv:2405.13995. eBay verisi, dünya olayları entegrasyonu (2024).</w:t>
      </w:r>
    </w:p>
    <w:p>
      <w:pPr>
        <w:pStyle w:val="ListParagraph"/>
        <w:numPr>
          <w:ilvl w:val="0"/>
          <w:numId w:val="2"/>
        </w:numPr>
        <w:spacing w:after="60" w:before="60"/>
      </w:pPr>
      <w:r>
        <w:rPr>
          <w:rFonts w:ascii="Georgia" w:cs="Georgia" w:eastAsia="Georgia" w:hAnsi="Georgia"/>
          <w:b w:val="false"/>
          <w:bCs w:val="false"/>
          <w:i w:val="false"/>
          <w:iCs w:val="false"/>
          <w:color w:val="111827"/>
          <w:sz w:val="21"/>
          <w:szCs w:val="21"/>
        </w:rPr>
        <w:t xml:space="preserve">EventCast + LLM — arXiv:2602.07695. Hibrit talep tahmini, LLM olay bilgisi (2026).</w:t>
      </w:r>
    </w:p>
    <w:p>
      <w:pPr>
        <w:pStyle w:val="ListParagraph"/>
        <w:numPr>
          <w:ilvl w:val="0"/>
          <w:numId w:val="2"/>
        </w:numPr>
        <w:spacing w:after="60" w:before="60"/>
      </w:pPr>
      <w:r>
        <w:rPr>
          <w:rFonts w:ascii="Georgia" w:cs="Georgia" w:eastAsia="Georgia" w:hAnsi="Georgia"/>
          <w:b w:val="false"/>
          <w:bCs w:val="false"/>
          <w:i w:val="false"/>
          <w:iCs w:val="false"/>
          <w:color w:val="111827"/>
          <w:sz w:val="21"/>
          <w:szCs w:val="21"/>
        </w:rPr>
        <w:t xml:space="preserve">Makroekonomik Göstergeler — arXiv:2406.07564. NeuralProphet + Eurostat GSYİH (2024).</w:t>
      </w:r>
    </w:p>
    <w:p>
      <w:pPr>
        <w:pStyle w:val="ListParagraph"/>
        <w:numPr>
          <w:ilvl w:val="0"/>
          <w:numId w:val="2"/>
        </w:numPr>
        <w:spacing w:after="60" w:before="60"/>
      </w:pPr>
      <w:r>
        <w:rPr>
          <w:rFonts w:ascii="Georgia" w:cs="Georgia" w:eastAsia="Georgia" w:hAnsi="Georgia"/>
          <w:b w:val="false"/>
          <w:bCs w:val="false"/>
          <w:i w:val="false"/>
          <w:iCs w:val="false"/>
          <w:color w:val="111827"/>
          <w:sz w:val="21"/>
          <w:szCs w:val="21"/>
        </w:rPr>
        <w:t xml:space="preserve">Cold-Start Framework — ScienceDirect Expert Systems with Applications (2025). Flipkart, EfficientNet + CatBoost.</w:t>
      </w:r>
    </w:p>
    <w:p>
      <w:pPr>
        <w:pStyle w:val="ListParagraph"/>
        <w:numPr>
          <w:ilvl w:val="0"/>
          <w:numId w:val="2"/>
        </w:numPr>
        <w:spacing w:after="60" w:before="60"/>
      </w:pPr>
      <w:r>
        <w:rPr>
          <w:rFonts w:ascii="Georgia" w:cs="Georgia" w:eastAsia="Georgia" w:hAnsi="Georgia"/>
          <w:b w:val="false"/>
          <w:bCs w:val="false"/>
          <w:i w:val="false"/>
          <w:iCs w:val="false"/>
          <w:color w:val="111827"/>
          <w:sz w:val="21"/>
          <w:szCs w:val="21"/>
        </w:rPr>
        <w:t xml:space="preserve">Multimodal Listing Üretimi — arXiv:2510.21835. Çok-görevli VLM, Ekim 2025.</w:t>
      </w:r>
    </w:p>
    <w:p>
      <w:pPr>
        <w:pStyle w:val="ListParagraph"/>
        <w:numPr>
          <w:ilvl w:val="0"/>
          <w:numId w:val="2"/>
        </w:numPr>
        <w:spacing w:after="60" w:before="60"/>
      </w:pPr>
      <w:r>
        <w:rPr>
          <w:rFonts w:ascii="Georgia" w:cs="Georgia" w:eastAsia="Georgia" w:hAnsi="Georgia"/>
          <w:b w:val="false"/>
          <w:bCs w:val="false"/>
          <w:i w:val="false"/>
          <w:iCs w:val="false"/>
          <w:color w:val="111827"/>
          <w:sz w:val="21"/>
          <w:szCs w:val="21"/>
        </w:rPr>
        <w:t xml:space="preserve">LLM Sorgu-Ürün Alaka — arXiv:2502.15990. CoT + ICL + RAG, Şubat 2025.</w:t>
      </w:r>
    </w:p>
    <w:p>
      <w:pPr>
        <w:pStyle w:val="ListParagraph"/>
        <w:numPr>
          <w:ilvl w:val="0"/>
          <w:numId w:val="2"/>
        </w:numPr>
        <w:spacing w:after="60" w:before="60"/>
      </w:pPr>
      <w:r>
        <w:rPr>
          <w:rFonts w:ascii="Georgia" w:cs="Georgia" w:eastAsia="Georgia" w:hAnsi="Georgia"/>
          <w:b w:val="false"/>
          <w:bCs w:val="false"/>
          <w:i w:val="false"/>
          <w:iCs w:val="false"/>
          <w:color w:val="111827"/>
          <w:sz w:val="21"/>
          <w:szCs w:val="21"/>
        </w:rPr>
        <w:t xml:space="preserve">LLM E-Ticaret Uygulamaları — arXiv:2408.12779. ACM 2024, Mixtral 8x22B.</w:t>
      </w:r>
    </w:p>
    <w:p>
      <w:pPr>
        <w:pStyle w:val="ListParagraph"/>
        <w:numPr>
          <w:ilvl w:val="0"/>
          <w:numId w:val="2"/>
        </w:numPr>
        <w:spacing w:after="60" w:before="60"/>
      </w:pPr>
      <w:r>
        <w:rPr>
          <w:rFonts w:ascii="Georgia" w:cs="Georgia" w:eastAsia="Georgia" w:hAnsi="Georgia"/>
          <w:b w:val="false"/>
          <w:bCs w:val="false"/>
          <w:i w:val="false"/>
          <w:iCs w:val="false"/>
          <w:color w:val="111827"/>
          <w:sz w:val="21"/>
          <w:szCs w:val="21"/>
        </w:rPr>
        <w:t xml:space="preserve">Amazon Reviews 2023 Dataset — arXiv:2403.03952. McAuley Lab, UCSD. HuggingFace: McAuley-Lab/Amazon-Reviews-2023.</w:t>
      </w:r>
    </w:p>
    <w:p>
      <w:pPr>
        <w:pStyle w:val="ListParagraph"/>
        <w:numPr>
          <w:ilvl w:val="0"/>
          <w:numId w:val="2"/>
        </w:numPr>
        <w:spacing w:after="60" w:before="60"/>
      </w:pPr>
      <w:r>
        <w:rPr>
          <w:rFonts w:ascii="Georgia" w:cs="Georgia" w:eastAsia="Georgia" w:hAnsi="Georgia"/>
          <w:b w:val="false"/>
          <w:bCs w:val="false"/>
          <w:i w:val="false"/>
          <w:iCs w:val="false"/>
          <w:color w:val="111827"/>
          <w:sz w:val="21"/>
          <w:szCs w:val="21"/>
        </w:rPr>
        <w:t xml:space="preserve">Tavsiye Sistemi Taraması — arXiv:2407.13699. 2017–2024 teoriden pratiğe köprü.</w:t>
      </w:r>
    </w:p>
    <w:p>
      <w:pPr>
        <w:pStyle w:val="ListParagraph"/>
        <w:numPr>
          <w:ilvl w:val="0"/>
          <w:numId w:val="2"/>
        </w:numPr>
        <w:spacing w:after="60" w:before="60"/>
      </w:pPr>
      <w:r>
        <w:rPr>
          <w:rFonts w:ascii="Georgia" w:cs="Georgia" w:eastAsia="Georgia" w:hAnsi="Georgia"/>
          <w:b w:val="false"/>
          <w:bCs w:val="false"/>
          <w:i w:val="false"/>
          <w:iCs w:val="false"/>
          <w:color w:val="111827"/>
          <w:sz w:val="21"/>
          <w:szCs w:val="21"/>
        </w:rPr>
        <w:t xml:space="preserve">GNN Tavsiye Sistemi — arXiv:2508.14059. LightGCN/GraphSAGE, Amazon Co-purchase (2025).</w:t>
      </w:r>
    </w:p>
    <w:p>
      <w:pPr>
        <w:spacing w:after="0" w:before="80"/>
      </w:pPr>
      <w:r>
        <w:t xml:space="preserve"/>
      </w:r>
    </w:p>
    <w:p>
      <w:pPr>
        <w:pBdr>
          <w:bottom w:val="single" w:color="E5E7EB" w:sz="6"/>
        </w:pBdr>
        <w:spacing w:after="240" w:before="240"/>
      </w:pPr>
    </w:p>
    <w:p>
      <w:pPr>
        <w:spacing w:after="0" w:before="80"/>
        <w:jc w:val="center"/>
      </w:pPr>
      <w:r>
        <w:rPr>
          <w:rFonts w:ascii="Georgia" w:cs="Georgia" w:eastAsia="Georgia" w:hAnsi="Georgia"/>
          <w:b w:val="false"/>
          <w:bCs w:val="false"/>
          <w:i w:val="false"/>
          <w:iCs w:val="false"/>
          <w:color w:val="9CA3AF"/>
          <w:sz w:val="17"/>
          <w:szCs w:val="17"/>
        </w:rPr>
        <w:t xml:space="preserve">© 2026 AmazenLens  ·  Araştırma Serisi #5  ·  amazenlens.com/blog</w:t>
      </w:r>
    </w:p>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spacing w:before="120"/>
    </w:pPr>
    <w:r>
      <w:rPr>
        <w:rFonts w:ascii="Georgia" w:cs="Georgia" w:eastAsia="Georgia" w:hAnsi="Georgia"/>
        <w:b w:val="false"/>
        <w:bCs w:val="false"/>
        <w:i w:val="false"/>
        <w:iCs w:val="false"/>
        <w:color w:val="9CA3AF"/>
        <w:sz w:val="17"/>
        <w:szCs w:val="17"/>
      </w:rPr>
      <w:t xml:space="preserve">© 2026 AmazenLens · Sayfa </w:t>
    </w:r>
    <w:r>
      <w:rPr>
        <w:rFonts w:ascii="Georgia" w:cs="Georgia" w:eastAsia="Georgia" w:hAnsi="Georgia"/>
        <w:color w:val="9CA3A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pBdr>
      <w:spacing w:after="120"/>
    </w:pPr>
    <w:r>
      <w:rPr>
        <w:rFonts w:ascii="Georgia" w:cs="Georgia" w:eastAsia="Georgia" w:hAnsi="Georgia"/>
        <w:b w:val="false"/>
        <w:bCs w:val="false"/>
        <w:i w:val="false"/>
        <w:iCs w:val="false"/>
        <w:color w:val="9CA3AF"/>
        <w:sz w:val="17"/>
        <w:szCs w:val="17"/>
      </w:rPr>
      <w:t xml:space="preserve">AmazenLens Blog  ·  amazenlens.com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Georgia" w:cs="Georgia" w:eastAsia="Georgia" w:hAnsi="Georgia"/>
      <w:b/>
      <w:bCs/>
      <w:color w:val="1B3A6B"/>
      <w:sz w:val="40"/>
      <w:szCs w:val="40"/>
    </w:rPr>
  </w:style>
  <w:style w:type="paragraph" w:styleId="Heading2">
    <w:name w:val="Heading 2"/>
    <w:basedOn w:val="Normal"/>
    <w:next w:val="Normal"/>
    <w:qFormat/>
    <w:pPr>
      <w:spacing w:after="180" w:before="360"/>
      <w:outlineLvl w:val="1"/>
    </w:pPr>
    <w:rPr>
      <w:rFonts w:ascii="Georgia" w:cs="Georgia" w:eastAsia="Georgia" w:hAnsi="Georgia"/>
      <w:b/>
      <w:bCs/>
      <w:color w:val="1B3A6B"/>
      <w:sz w:val="30"/>
      <w:szCs w:val="30"/>
    </w:rPr>
  </w:style>
  <w:style w:type="paragraph" w:styleId="Heading3">
    <w:name w:val="Heading 3"/>
    <w:basedOn w:val="Normal"/>
    <w:next w:val="Normal"/>
    <w:qFormat/>
    <w:pPr>
      <w:spacing w:after="120" w:before="240"/>
      <w:outlineLvl w:val="2"/>
    </w:pPr>
    <w:rPr>
      <w:rFonts w:ascii="Georgia" w:cs="Georgia" w:eastAsia="Georgia" w:hAnsi="Georgia"/>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2026-03-21T20:03:52.928Z</dcterms:created>
  <dcterms:modified xsi:type="dcterms:W3CDTF">2026-03-21T20:03:52.929Z</dcterms:modified>
</cp:coreProperties>
</file>

<file path=docProps/custom.xml><?xml version="1.0" encoding="utf-8"?>
<Properties xmlns="http://schemas.openxmlformats.org/officeDocument/2006/custom-properties" xmlns:vt="http://schemas.openxmlformats.org/officeDocument/2006/docPropsVTypes"/>
</file>