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(rett.young@blueowl.com). Rewritten 3 October 2026; supersedes all earlier handoff, session and</w:t>
      </w:r>
      <w:r>
        <w:t xml:space="preserve"> </w:t>
      </w:r>
      <w:r>
        <w:t xml:space="preserve">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0" w:name="what-this-is"/>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r>
        <w:t xml:space="preserve"> </w:t>
      </w:r>
      <w:r>
        <w:t xml:space="preserve">1.</w:t>
      </w:r>
      <w:r>
        <w:t xml:space="preserve"> </w:t>
      </w: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w:t>
      </w:r>
      <w:r>
        <w:t xml:space="preserve"> </w:t>
      </w:r>
      <w:r>
        <w:t xml:space="preserve">“</w:t>
      </w:r>
      <w:r>
        <w:t xml:space="preserve">I</w:t>
      </w:r>
      <w:r>
        <w:t xml:space="preserve"> </w:t>
      </w:r>
      <w:r>
        <w:t xml:space="preserve">like the excel tracker template we built; don’t discard that, it should be the primary deliverable.</w:t>
      </w:r>
      <w:r>
        <w:t xml:space="preserve">”</w:t>
      </w:r>
      <w:r>
        <w:t xml:space="preserve"> </w:t>
      </w:r>
      <w:r>
        <w:t xml:space="preserve">2.</w:t>
      </w:r>
      <w:r>
        <w:t xml:space="preserve"> </w:t>
      </w:r>
      <w:r>
        <w:rPr>
          <w:bCs/>
          <w:b/>
        </w:rPr>
        <w:t xml:space="preserve">A narrative report</w:t>
      </w:r>
      <w:r>
        <w:t xml:space="preserve"> </w:t>
      </w:r>
      <w:r>
        <w:t xml:space="preserve">accompanying each delivery (PDF and Word, from markdown).</w:t>
      </w:r>
      <w:r>
        <w:t xml:space="preserve"> </w:t>
      </w:r>
      <w:r>
        <w:t xml:space="preserve">3.</w:t>
      </w:r>
      <w:r>
        <w:t xml:space="preserve"> </w:t>
      </w: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r>
        <w:t xml:space="preserve"> </w:t>
      </w:r>
      <w:r>
        <w:t xml:space="preserve">4.</w:t>
      </w:r>
      <w:r>
        <w:t xml:space="preserve"> </w:t>
      </w:r>
      <w:r>
        <w:rPr>
          <w:bCs/>
          <w:b/>
        </w:rPr>
        <w:t xml:space="preserve">An email brief</w:t>
      </w:r>
      <w:r>
        <w:t xml:space="preserve"> </w:t>
      </w:r>
      <w:r>
        <w:t xml:space="preserve">to rett.young@blueowl.com, written for the BODI deal team and forwardable unedited.</w:t>
      </w:r>
    </w:p>
    <w:p>
      <w:r>
        <w:pict>
          <v:rect style="width:0;height:1.5pt" o:hralign="center" o:hrstd="t" o:hr="t"/>
        </w:pict>
      </w:r>
    </w:p>
    <w:bookmarkEnd w:id="20"/>
    <w:bookmarkStart w:id="21" w:name="X0b8a6e1b1ecab633050a05e9e6cf658ef4b9568"/>
    <w:p>
      <w:pPr>
        <w:pStyle w:val="Heading2"/>
      </w:pPr>
      <w:r>
        <w:t xml:space="preserve">2. Rett’s standing constraints (preserve all of these)</w:t>
      </w:r>
    </w:p>
    <w:p>
      <w:pPr>
        <w:numPr>
          <w:ilvl w:val="0"/>
          <w:numId w:val="1001"/>
        </w:numPr>
        <w:pStyle w:val="Compact"/>
      </w:pPr>
      <w:r>
        <w:rPr>
          <w:bCs/>
          <w:b/>
        </w:rPr>
        <w:t xml:space="preserve">Fully cloud-based, no dependency on his computer.</w:t>
      </w:r>
      <w:r>
        <w:t xml:space="preserve"> </w:t>
      </w:r>
      <w:r>
        <w:t xml:space="preserve">“</w:t>
      </w:r>
      <w:r>
        <w:t xml:space="preserve">I want the scheduled task to be fully cloud based</w:t>
      </w:r>
      <w:r>
        <w:t xml:space="preserve"> </w:t>
      </w:r>
      <w:r>
        <w:t xml:space="preserve">with no computer dependency.</w:t>
      </w:r>
      <w:r>
        <w:t xml:space="preserve">”</w:t>
      </w:r>
      <w:r>
        <w:t xml:space="preserve"> </w:t>
      </w:r>
      <w:r>
        <w:t xml:space="preserve">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1"/>
        </w:numPr>
        <w:pStyle w:val="Compact"/>
      </w:pPr>
      <w:r>
        <w:rPr>
          <w:bCs/>
          <w:b/>
        </w:rPr>
        <w:t xml:space="preserve">Read primary filings directly.</w:t>
      </w:r>
      <w:r>
        <w:t xml:space="preserve"> </w:t>
      </w:r>
      <w:r>
        <w:t xml:space="preserve">“</w:t>
      </w:r>
      <w:r>
        <w:t xml:space="preserve">I don’t want to manually subscribe to a bunch of additional email</w:t>
      </w:r>
      <w:r>
        <w:t xml:space="preserve"> </w:t>
      </w:r>
      <w:r>
        <w:t xml:space="preserve">listservs. You need to be able to directly read and summarize primary filings.</w:t>
      </w:r>
      <w:r>
        <w:t xml:space="preserve">”</w:t>
      </w:r>
      <w:r>
        <w:t xml:space="preserve"> </w:t>
      </w:r>
      <w:r>
        <w:t xml:space="preserve">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1"/>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1"/>
        </w:numPr>
        <w:pStyle w:val="Compact"/>
      </w:pPr>
      <w:r>
        <w:rPr>
          <w:bCs/>
          <w:b/>
        </w:rPr>
        <w:t xml:space="preserve">Web fetching is always permitted</w:t>
      </w:r>
      <w:r>
        <w:t xml:space="preserve"> </w:t>
      </w:r>
      <w:r>
        <w:t xml:space="preserve">for this project.</w:t>
      </w:r>
      <w:r>
        <w:t xml:space="preserve"> </w:t>
      </w:r>
      <w:r>
        <w:t xml:space="preserve">“</w:t>
      </w:r>
      <w:r>
        <w:t xml:space="preserve">Stop asking. It is always allowed.</w:t>
      </w:r>
      <w:r>
        <w:t xml:space="preserve">”</w:t>
      </w:r>
      <w:r>
        <w:t xml:space="preserve"> </w:t>
      </w:r>
      <w:r>
        <w:t xml:space="preserve">(WebFetch and</w:t>
      </w:r>
      <w:r>
        <w:t xml:space="preserve"> </w:t>
      </w:r>
      <w:r>
        <w:t xml:space="preserve">WebSearch are set to always-allow.)</w:t>
      </w:r>
    </w:p>
    <w:p>
      <w:pPr>
        <w:numPr>
          <w:ilvl w:val="0"/>
          <w:numId w:val="1001"/>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1"/>
        </w:numPr>
        <w:pStyle w:val="Compact"/>
      </w:pPr>
      <w:r>
        <w:rPr>
          <w:bCs/>
          <w:b/>
        </w:rPr>
        <w:t xml:space="preserve">Mail is read-only.</w:t>
      </w:r>
      <w:r>
        <w:t xml:space="preserve"> </w:t>
      </w:r>
      <w:r>
        <w:t xml:space="preserve">“</w:t>
      </w:r>
      <w:r>
        <w:t xml:space="preserve">RTO Insider and NPM emails are in my</w:t>
      </w:r>
      <w:r>
        <w:t xml:space="preserve"> </w:t>
      </w:r>
      <w:r>
        <w:t xml:space="preserve">‘</w:t>
      </w:r>
      <w:r>
        <w:t xml:space="preserve">Other</w:t>
      </w:r>
      <w:r>
        <w:t xml:space="preserve">’</w:t>
      </w:r>
      <w:r>
        <w:t xml:space="preserve"> </w:t>
      </w:r>
      <w:r>
        <w:t xml:space="preserve">inbox. I don’t want to change the rules</w:t>
      </w:r>
      <w:r>
        <w:t xml:space="preserve"> </w:t>
      </w:r>
      <w:r>
        <w:t xml:space="preserve">for them. Scrape them from there without marking them read.</w:t>
      </w:r>
      <w:r>
        <w:t xml:space="preserve">”</w:t>
      </w:r>
      <w:r>
        <w:t xml:space="preserve"> </w:t>
      </w:r>
      <w:r>
        <w:t xml:space="preserve">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1"/>
        </w:numPr>
        <w:pStyle w:val="Compact"/>
      </w:pPr>
      <w:r>
        <w:rPr>
          <w:bCs/>
          <w:b/>
        </w:rPr>
        <w:t xml:space="preserve">Sending is permitted for exactly one thing:</w:t>
      </w:r>
      <w:r>
        <w:t xml:space="preserve"> </w:t>
      </w:r>
      <w:r>
        <w:t xml:space="preserve">the weekly brief, to rett.young@blueowl.com, once per run.</w:t>
      </w:r>
      <w:r>
        <w:t xml:space="preserve"> </w:t>
      </w:r>
      <w:r>
        <w:t xml:space="preserve">No cc, bcc, other recipient, reply or forward.</w:t>
      </w:r>
    </w:p>
    <w:p>
      <w:pPr>
        <w:numPr>
          <w:ilvl w:val="0"/>
          <w:numId w:val="1001"/>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1"/>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 https://github.com/rettyoung/BODI/settings/secrets/actions/new. Never store secrets in an artifact or the repo.</w:t>
      </w:r>
    </w:p>
    <w:p>
      <w:pPr>
        <w:numPr>
          <w:ilvl w:val="0"/>
          <w:numId w:val="1001"/>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1"/>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1"/>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1"/>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w:t>
      </w:r>
      <w:r>
        <w:t xml:space="preserve"> </w:t>
      </w:r>
      <w:r>
        <w:t xml:space="preserve">“</w:t>
      </w:r>
      <w:r>
        <w:t xml:space="preserve">Stop if usage hits 90%</w:t>
      </w:r>
      <w:r>
        <w:t xml:space="preserve">”</w:t>
      </w:r>
      <w:r>
        <w:t xml:space="preserve">;</w:t>
      </w:r>
      <w:r>
        <w:t xml:space="preserve"> </w:t>
      </w:r>
      <w:r>
        <w:t xml:space="preserve">“</w:t>
      </w:r>
      <w:r>
        <w:t xml:space="preserve">avoid getting stalled and burning tokens.</w:t>
      </w:r>
      <w:r>
        <w:t xml:space="preserve">”</w:t>
      </w:r>
    </w:p>
    <w:p>
      <w:pPr>
        <w:numPr>
          <w:ilvl w:val="0"/>
          <w:numId w:val="1001"/>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w:t>
      </w:r>
      <w:r>
        <w:t xml:space="preserve"> </w:t>
      </w:r>
      <w:r>
        <w:t xml:space="preserve">“</w:t>
      </w:r>
      <w:r>
        <w:t xml:space="preserve">what is the point of the internet dashboard? I thought it was meant to be an interactive tool</w:t>
      </w:r>
      <w:r>
        <w:t xml:space="preserve">”</w:t>
      </w:r>
      <w:r>
        <w:t xml:space="preserve"> </w:t>
      </w:r>
      <w:r>
        <w:t xml:space="preserve">—</w:t>
      </w:r>
      <w:r>
        <w:t xml:space="preserve"> </w:t>
      </w:r>
      <w:r>
        <w:t xml:space="preserve">is the standard.</w:t>
      </w:r>
    </w:p>
    <w:p>
      <w:pPr>
        <w:numPr>
          <w:ilvl w:val="0"/>
          <w:numId w:val="1001"/>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1"/>
    <w:bookmarkStart w:id="27" w:name="where-everything-lives"/>
    <w:p>
      <w:pPr>
        <w:pStyle w:val="Heading2"/>
      </w:pPr>
      <w:r>
        <w:t xml:space="preserve">3. Where everything lives</w:t>
      </w:r>
    </w:p>
    <w:bookmarkStart w:id="22"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rows_p1..p5</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runs/2026-10-03-0019.json</w:t>
            </w:r>
            <w:r>
              <w:t xml:space="preserve">,</w:t>
            </w:r>
            <w:r>
              <w:t xml:space="preserve"> </w:t>
            </w:r>
            <w:r>
              <w:rPr>
                <w:rStyle w:val="VerbatimChar"/>
              </w:rPr>
              <w:t xml:space="preserve">briefs/2026-10-03.json</w:t>
            </w:r>
          </w:p>
        </w:tc>
        <w:tc>
          <w:tcPr/>
          <w:p>
            <w:pPr>
              <w:pStyle w:val="Compact"/>
              <w:jc w:val="left"/>
            </w:pPr>
            <w:r>
              <w:t xml:space="preserve">Records of the 3 Oct verification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rows_p6.json</w:t>
      </w:r>
      <w:r>
        <w:t xml:space="preserve"> </w:t>
      </w:r>
      <w:r>
        <w:t xml:space="preserve">next) and appends it to the manifest. It never rewrites an existing part.</w:t>
      </w:r>
    </w:p>
    <w:bookmarkEnd w:id="22"/>
    <w:bookmarkStart w:id="23" w:name="Xb6d88468f0a85023b5d337f2f203ae555b94570"/>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3"/>
    <w:bookmarkStart w:id="24" w:name="console"/>
    <w:p>
      <w:pPr>
        <w:pStyle w:val="Heading3"/>
      </w:pPr>
      <w:r>
        <w:t xml:space="preserve">Console</w:t>
      </w:r>
    </w:p>
    <w:p>
      <w:pPr>
        <w:pStyle w:val="FirstParagraph"/>
      </w:pPr>
      <w:r>
        <w:t xml:space="preserve">Published artifact</w:t>
      </w:r>
      <w:r>
        <w:t xml:space="preserve"> </w:t>
      </w:r>
      <w:r>
        <w:rPr>
          <w:bCs/>
          <w:b/>
        </w:rPr>
        <w:t xml:space="preserve">https://claude.ai/artifact/JJ8FYdvfZ2WPg6r4UpFXbW</w:t>
      </w:r>
      <w:r>
        <w:t xml:space="preserve"> </w:t>
      </w:r>
      <w:r>
        <w:t xml:space="preserve">—</w:t>
      </w:r>
      <w:r>
        <w:t xml:space="preserve"> </w:t>
      </w:r>
      <w:r>
        <w:rPr>
          <w:bCs/>
          <w:b/>
        </w:rPr>
        <w:t xml:space="preserve">version 8</w:t>
      </w:r>
      <w:r>
        <w:t xml:space="preserve"> </w:t>
      </w:r>
      <w:r>
        <w:t xml:space="preserve">(4 Oct 2026; repo commit</w:t>
      </w:r>
      <w:r>
        <w:t xml:space="preserve"> </w:t>
      </w:r>
      <w:r>
        <w:t xml:space="preserve">fbcce31). Private to Rett until shared.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w:t>
      </w:r>
      <w:r>
        <w:t xml:space="preserve"> </w:t>
      </w:r>
      <w:r>
        <w:t xml:space="preserve">“</w:t>
      </w:r>
      <w:r>
        <w:t xml:space="preserve">quiet or blind</w:t>
      </w:r>
      <w:r>
        <w:t xml:space="preserve"> </w:t>
      </w:r>
      <w:r>
        <w:t xml:space="preserve">spot</w:t>
      </w:r>
      <w:r>
        <w:t xml:space="preserve">”</w:t>
      </w:r>
      <w:r>
        <w:t xml:space="preserve"> </w:t>
      </w:r>
      <w:r>
        <w:t xml:space="preserve">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4"/>
    <w:bookmarkStart w:id="25" w:name="scheduled-tasks"/>
    <w:p>
      <w:pPr>
        <w:pStyle w:val="Heading3"/>
      </w:pPr>
      <w:r>
        <w:t xml:space="preserve">Scheduled tasks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Next run 2026-10-05.</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Next run 2026-10-05.</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w:t>
            </w:r>
            <w:r>
              <w:t xml:space="preserve"> </w:t>
            </w:r>
            <w:r>
              <w:t xml:space="preserve">“</w:t>
            </w:r>
            <w:r>
              <w:t xml:space="preserve">Run now / Skip this week</w:t>
            </w:r>
            <w:r>
              <w:t xml:space="preserve">”</w:t>
            </w:r>
            <w:r>
              <w:t xml:space="preserve"> </w:t>
            </w:r>
            <w:r>
              <w:t xml:space="preserve">and does nothing without</w:t>
            </w:r>
            <w:r>
              <w:t xml:space="preserve"> </w:t>
            </w:r>
            <w:r>
              <w:t xml:space="preserve">“</w:t>
            </w:r>
            <w:r>
              <w:t xml:space="preserve">Run now</w:t>
            </w:r>
            <w:r>
              <w:t xml:space="preserve">”</w:t>
            </w:r>
            <w:r>
              <w:t xml:space="preserve">.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w:t>
      </w:r>
      <w:r>
        <w:t xml:space="preserve"> </w:t>
      </w:r>
      <w:r>
        <w:t xml:space="preserve">“</w:t>
      </w:r>
      <w:r>
        <w:t xml:space="preserve">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r>
        <w:t xml:space="preserve"> </w:t>
      </w:r>
      <w:r>
        <w:t xml:space="preserve">-</w:t>
      </w:r>
      <w:r>
        <w:t xml:space="preserve"> </w:t>
      </w: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r>
        <w:t xml:space="preserve"> </w:t>
      </w:r>
      <w:r>
        <w:t xml:space="preserve">-</w:t>
      </w:r>
      <w:r>
        <w:t xml:space="preserve"> </w:t>
      </w: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r>
        <w:t xml:space="preserve"> </w:t>
      </w:r>
      <w:r>
        <w:t xml:space="preserve">-</w:t>
      </w:r>
      <w:r>
        <w:t xml:space="preserve"> </w:t>
      </w: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r>
        <w:t xml:space="preserve"> </w:t>
      </w:r>
      <w:r>
        <w:t xml:space="preserve">-</w:t>
      </w:r>
      <w:r>
        <w:t xml:space="preserve"> </w:t>
      </w: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BodyText"/>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5"/>
    <w:bookmarkStart w:id="26"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w:t>
      </w:r>
      <w:r>
        <w:t xml:space="preserve"> </w:t>
      </w:r>
      <w:r>
        <w:t xml:space="preserve">“</w:t>
      </w:r>
      <w:r>
        <w:t xml:space="preserve">can be delayed during periods of high loads</w:t>
      </w:r>
      <w:r>
        <w:t xml:space="preserve">”</w:t>
      </w:r>
      <w:r>
        <w:t xml:space="preserve"> </w:t>
      </w:r>
      <w:r>
        <w:t xml:space="preserve">and some</w:t>
      </w:r>
      <w:r>
        <w:t xml:space="preserve"> </w:t>
      </w:r>
      <w:r>
        <w:t xml:space="preserve">“</w:t>
      </w:r>
      <w:r>
        <w:t xml:space="preserve">may be dropped</w:t>
      </w:r>
      <w:r>
        <w:t xml:space="preserve">”</w:t>
      </w:r>
      <w:r>
        <w:t xml:space="preserve">;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w:t>
      </w:r>
    </w:p>
    <w:p>
      <w:r>
        <w:pict>
          <v:rect style="width:0;height:1.5pt" o:hralign="center" o:hrstd="t" o:hr="t"/>
        </w:pict>
      </w:r>
    </w:p>
    <w:bookmarkEnd w:id="26"/>
    <w:bookmarkEnd w:id="27"/>
    <w:bookmarkStart w:id="30" w:name="architecture-v3-current"/>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r>
        <w:t xml:space="preserve"> </w:t>
      </w:r>
      <w:r>
        <w:t xml:space="preserve">-</w:t>
      </w:r>
      <w:r>
        <w:t xml:space="preserve"> </w:t>
      </w: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r>
        <w:t xml:space="preserve"> </w:t>
      </w:r>
      <w:r>
        <w:t xml:space="preserve">-</w:t>
      </w:r>
      <w:r>
        <w:t xml:space="preserve"> </w:t>
      </w: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r>
        <w:t xml:space="preserve"> </w:t>
      </w:r>
      <w:r>
        <w:t xml:space="preserve">-</w:t>
      </w:r>
      <w:r>
        <w:t xml:space="preserve"> </w:t>
      </w: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r>
        <w:t xml:space="preserve"> </w:t>
      </w:r>
      <w:r>
        <w:t xml:space="preserve">-</w:t>
      </w:r>
      <w:r>
        <w:t xml:space="preserve"> </w:t>
      </w: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r>
        <w:t xml:space="preserve"> </w:t>
      </w:r>
      <w:r>
        <w:t xml:space="preserve">-</w:t>
      </w:r>
      <w:r>
        <w:t xml:space="preserve"> </w:t>
      </w: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r>
        <w:t xml:space="preserve"> </w:t>
      </w:r>
      <w:r>
        <w:t xml:space="preserve">-</w:t>
      </w:r>
      <w:r>
        <w:t xml:space="preserve"> </w:t>
      </w: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r>
        <w:t xml:space="preserve"> </w:t>
      </w:r>
      <w:r>
        <w:t xml:space="preserve">-</w:t>
      </w:r>
      <w:r>
        <w:t xml:space="preserve"> </w:t>
      </w: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r>
        <w:t xml:space="preserve"> </w:t>
      </w:r>
      <w:r>
        <w:t xml:space="preserve">-</w:t>
      </w:r>
      <w:r>
        <w:t xml:space="preserve"> </w:t>
      </w: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r>
        <w:t xml:space="preserve"> </w:t>
      </w:r>
      <w:r>
        <w:t xml:space="preserve">+ patch) into its run record and the report; a session with push access applies it. Fixes that would defeat a</w:t>
      </w:r>
      <w:r>
        <w:t xml:space="preserve"> </w:t>
      </w:r>
      <w:r>
        <w:t xml:space="preserve">block, ignore robots.txt or use a credential are not fixes.</w:t>
      </w:r>
      <w:r>
        <w:t xml:space="preserve"> </w:t>
      </w:r>
      <w:r>
        <w:t xml:space="preserve">-</w:t>
      </w:r>
      <w:r>
        <w:t xml:space="preserve"> </w:t>
      </w: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28"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28"/>
    <w:bookmarkStart w:id="29"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w:t>
      </w:r>
      <w:r>
        <w:t xml:space="preserve"> </w:t>
      </w:r>
      <w:r>
        <w:t xml:space="preserve">“</w:t>
      </w:r>
      <w:r>
        <w:t xml:space="preserve">nothing moved</w:t>
      </w:r>
      <w:r>
        <w:t xml:space="preserve">”</w:t>
      </w:r>
      <w:r>
        <w:t xml:space="preserve">) → STATUS CHECK (GREEN/AMBER/RED) →</w:t>
      </w:r>
      <w:r>
        <w:t xml:space="preserve"> </w:t>
      </w:r>
      <w:r>
        <w:rPr>
          <w:bCs/>
          <w:b/>
        </w:rPr>
        <w:t xml:space="preserve">30-day milestones, never omitted</w:t>
      </w:r>
      <w:r>
        <w:t xml:space="preserve"> </w:t>
      </w:r>
      <w:r>
        <w:t xml:space="preserve">(URGENT inside 7 days; past-dated without outcome =</w:t>
      </w:r>
      <w:r>
        <w:t xml:space="preserve"> </w:t>
      </w:r>
      <w:r>
        <w:t xml:space="preserve">“</w:t>
      </w:r>
      <w:r>
        <w:t xml:space="preserve">outcome needed</w:t>
      </w:r>
      <w:r>
        <w:t xml:space="preserve">”</w:t>
      </w:r>
      <w:r>
        <w:t xml:space="preserve">)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w:t>
      </w:r>
      <w:r>
        <w:t xml:space="preserve"> </w:t>
      </w:r>
      <w:r>
        <w:t xml:space="preserve">when</w:t>
      </w:r>
      <w:r>
        <w:t xml:space="preserve"> </w:t>
      </w:r>
      <w:r>
        <w:t xml:space="preserve">RED,</w:t>
      </w:r>
      <w:r>
        <w:t xml:space="preserve"> </w:t>
      </w:r>
      <w:r>
        <w:rPr>
          <w:rStyle w:val="VerbatimChar"/>
        </w:rPr>
        <w:t xml:space="preserve">[No sweep]</w:t>
      </w:r>
      <w:r>
        <w:t xml:space="preserve"> </w:t>
      </w:r>
      <w:r>
        <w:t xml:space="preserve">for the failure notice). HTML, 400-word target, 600 ceiling. Sections: STATUS CHECK (amber/red</w:t>
      </w:r>
      <w:r>
        <w:t xml:space="preserve"> </w:t>
      </w:r>
      <w:r>
        <w:t xml:space="preserve">only) · UPCOMING MILESTONES (always) · THIS WEEK (3–5 high items) · ALSO MOVING (≤6 medium) · LINKS (console</w:t>
      </w:r>
      <w:r>
        <w:t xml:space="preserve"> </w:t>
      </w:r>
      <w:r>
        <w:t xml:space="preserve">only) · one-line footer.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29"/>
    <w:bookmarkEnd w:id="30"/>
    <w:bookmarkStart w:id="31" w:name="X006a2875756ed8e6e301e62217dc6b032991514"/>
    <w:p>
      <w:pPr>
        <w:pStyle w:val="Heading2"/>
      </w:pPr>
      <w:r>
        <w:t xml:space="preserve">5. The schema (decided deliberately — do not</w:t>
      </w:r>
      <w:r>
        <w:t xml:space="preserve"> </w:t>
      </w:r>
      <w:r>
        <w:t xml:space="preserve">“</w:t>
      </w:r>
      <w:r>
        <w:t xml:space="preserve">improve</w:t>
      </w:r>
      <w:r>
        <w:t xml:space="preserve">”</w:t>
      </w:r>
      <w:r>
        <w:t xml:space="preserve"> </w:t>
      </w:r>
      <w:r>
        <w:t xml:space="preserve">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2"/>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2"/>
        </w:numPr>
        <w:pStyle w:val="Compact"/>
      </w:pPr>
      <w:r>
        <w:rPr>
          <w:bCs/>
          <w:b/>
        </w:rPr>
        <w:t xml:space="preserve">Count distinct Event IDs for</w:t>
      </w:r>
      <w:r>
        <w:rPr>
          <w:bCs/>
          <w:b/>
        </w:rPr>
        <w:t xml:space="preserve"> </w:t>
      </w:r>
      <w:r>
        <w:rPr>
          <w:bCs/>
          <w:b/>
        </w:rPr>
        <w:t xml:space="preserve">“</w:t>
      </w:r>
      <w:r>
        <w:rPr>
          <w:bCs/>
          <w:b/>
        </w:rPr>
        <w:t xml:space="preserve">how many things happened</w:t>
      </w:r>
      <w:r>
        <w:rPr>
          <w:bCs/>
          <w:b/>
        </w:rPr>
        <w:t xml:space="preserve">”</w:t>
      </w:r>
      <w:r>
        <w:rPr>
          <w:bCs/>
          <w:b/>
        </w:rPr>
        <w:t xml:space="preserve">; count rows only for entity exposure.</w:t>
      </w:r>
      <w:r>
        <w:t xml:space="preserve"> </w:t>
      </w:r>
      <w:r>
        <w:t xml:space="preserve">161 events</w:t>
      </w:r>
      <w:r>
        <w:t xml:space="preserve"> </w:t>
      </w:r>
      <w:r>
        <w:t xml:space="preserve">≠ 229 rows.</w:t>
      </w:r>
    </w:p>
    <w:p>
      <w:pPr>
        <w:numPr>
          <w:ilvl w:val="0"/>
          <w:numId w:val="1002"/>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2"/>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2"/>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2"/>
        </w:numPr>
        <w:pStyle w:val="Compact"/>
      </w:pPr>
      <w:r>
        <w:rPr>
          <w:bCs/>
          <w:b/>
        </w:rPr>
        <w:t xml:space="preserve">Vocabularies:</w:t>
      </w:r>
    </w:p>
    <w:p>
      <w:pPr>
        <w:numPr>
          <w:ilvl w:val="1"/>
          <w:numId w:val="1003"/>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3"/>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3"/>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3"/>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3"/>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2"/>
        </w:numPr>
        <w:pStyle w:val="Compact"/>
      </w:pPr>
      <w:r>
        <w:rPr>
          <w:bCs/>
          <w:b/>
        </w:rPr>
        <w:t xml:space="preserve">Document</w:t>
      </w:r>
      <w:r>
        <w:t xml:space="preserve"> </w:t>
      </w:r>
      <w:r>
        <w:t xml:space="preserve">is descriptive and contains</w:t>
      </w:r>
      <w:r>
        <w:t xml:space="preserve"> </w:t>
      </w:r>
      <w:r>
        <w:t xml:space="preserve">“</w:t>
      </w:r>
      <w:r>
        <w:t xml:space="preserve">Docket</w:t>
      </w:r>
      <w:r>
        <w:t xml:space="preserve">”</w:t>
      </w:r>
      <w:r>
        <w:t xml:space="preserve"> </w:t>
      </w:r>
      <w:r>
        <w:t xml:space="preserve">when it is one.</w:t>
      </w:r>
    </w:p>
    <w:p>
      <w:pPr>
        <w:numPr>
          <w:ilvl w:val="0"/>
          <w:numId w:val="1002"/>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2"/>
        </w:numPr>
        <w:pStyle w:val="Compact"/>
      </w:pPr>
      <w:r>
        <w:rPr>
          <w:bCs/>
          <w:b/>
        </w:rPr>
        <w:t xml:space="preserve">Appeal and Superseded</w:t>
      </w:r>
      <w:r>
        <w:t xml:space="preserve"> </w:t>
      </w:r>
      <w:r>
        <w:t xml:space="preserve">hold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numPr>
          <w:ilvl w:val="0"/>
          <w:numId w:val="1002"/>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2"/>
        </w:numPr>
        <w:pStyle w:val="Compact"/>
      </w:pPr>
      <w:r>
        <w:rPr>
          <w:bCs/>
          <w:b/>
        </w:rPr>
        <w:t xml:space="preserve">Naming:</w:t>
      </w:r>
      <w:r>
        <w:t xml:space="preserve"> </w:t>
      </w:r>
      <w:r>
        <w:t xml:space="preserve">email sections are</w:t>
      </w:r>
      <w:r>
        <w:t xml:space="preserve"> </w:t>
      </w:r>
      <w:r>
        <w:t xml:space="preserve">“</w:t>
      </w:r>
      <w:r>
        <w:t xml:space="preserve">STATUS CHECK</w:t>
      </w:r>
      <w:r>
        <w:t xml:space="preserve">”</w:t>
      </w:r>
      <w:r>
        <w:t xml:space="preserve"> </w:t>
      </w:r>
      <w:r>
        <w:t xml:space="preserve">and</w:t>
      </w:r>
      <w:r>
        <w:t xml:space="preserve"> </w:t>
      </w:r>
      <w:r>
        <w:t xml:space="preserve">“</w:t>
      </w:r>
      <w:r>
        <w:t xml:space="preserve">UPCOMING MILESTONES</w:t>
      </w:r>
      <w:r>
        <w:t xml:space="preserve">”</w:t>
      </w:r>
      <w:r>
        <w:t xml:space="preserve">.</w:t>
      </w:r>
      <w:r>
        <w:t xml:space="preserve"> </w:t>
      </w:r>
      <w:r>
        <w:t xml:space="preserve">“</w:t>
      </w:r>
      <w:r>
        <w:t xml:space="preserve">So What</w:t>
      </w:r>
      <w:r>
        <w:t xml:space="preserve">”</w:t>
      </w:r>
      <w:r>
        <w:t xml:space="preserve"> </w:t>
      </w:r>
      <w:r>
        <w:t xml:space="preserve">became</w:t>
      </w:r>
      <w:r>
        <w:t xml:space="preserve"> </w:t>
      </w:r>
      <w:r>
        <w:t xml:space="preserve">“</w:t>
      </w:r>
      <w:r>
        <w:t xml:space="preserve">Takeaway</w:t>
      </w:r>
      <w:r>
        <w:t xml:space="preserve">”</w:t>
      </w:r>
      <w:r>
        <w:t xml:space="preserve">. The</w:t>
      </w:r>
      <w:r>
        <w:t xml:space="preserve"> </w:t>
      </w:r>
      <w:r>
        <w:t xml:space="preserve">“</w:t>
      </w:r>
      <w:r>
        <w:t xml:space="preserve">lens</w:t>
      </w:r>
      <w:r>
        <w:t xml:space="preserve">”</w:t>
      </w:r>
      <w:r>
        <w:t xml:space="preserve"> </w:t>
      </w:r>
      <w:r>
        <w:t xml:space="preserve">taxonomy and the</w:t>
      </w:r>
      <w:r>
        <w:t xml:space="preserve"> </w:t>
      </w:r>
      <w:r>
        <w:t xml:space="preserve">“</w:t>
      </w:r>
      <w:r>
        <w:t xml:space="preserve">Schema</w:t>
      </w:r>
      <w:r>
        <w:t xml:space="preserve">”</w:t>
      </w:r>
      <w:r>
        <w:t xml:space="preserve"> </w:t>
      </w:r>
      <w:r>
        <w:t xml:space="preserve">column were dropped.</w:t>
      </w:r>
    </w:p>
    <w:p>
      <w:pPr>
        <w:numPr>
          <w:ilvl w:val="0"/>
          <w:numId w:val="1002"/>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1"/>
    <w:bookmarkStart w:id="32" w:name="current-state-of-the-data-3-oct-2026"/>
    <w:p>
      <w:pPr>
        <w:pStyle w:val="Heading2"/>
      </w:pPr>
      <w:r>
        <w:t xml:space="preserve">6. Current state of the data (3 Oct 2026)</w:t>
      </w:r>
    </w:p>
    <w:p>
      <w:pPr>
        <w:pStyle w:val="FirstParagraph"/>
      </w:pPr>
      <w:r>
        <w:rPr>
          <w:bCs/>
          <w:b/>
        </w:rPr>
        <w:t xml:space="preserve">Store: 180 events / 253 rows</w:t>
      </w:r>
      <w:r>
        <w:t xml:space="preserve"> </w:t>
      </w:r>
      <w:r>
        <w:t xml:space="preserve">across</w:t>
      </w:r>
      <w:r>
        <w:t xml:space="preserve"> </w:t>
      </w:r>
      <w:r>
        <w:rPr>
          <w:rStyle w:val="VerbatimChar"/>
        </w:rPr>
        <w:t xml:space="preserve">rows_p1..p5</w:t>
      </w:r>
      <w:r>
        <w:t xml:space="preserve">.</w:t>
      </w:r>
    </w:p>
    <w:p>
      <w:pPr>
        <w:numPr>
          <w:ilvl w:val="0"/>
          <w:numId w:val="1004"/>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Superseded: 3 rows across 2 events (E-20260918-035 ×2 Duke NC+SC; E-20260918-110 APS).</w:t>
      </w:r>
    </w:p>
    <w:p>
      <w:pPr>
        <w:numPr>
          <w:ilvl w:val="0"/>
          <w:numId w:val="1004"/>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4"/>
        </w:numPr>
        <w:pStyle w:val="Compact"/>
      </w:pPr>
      <w:r>
        <w:rPr>
          <w:bCs/>
          <w:b/>
        </w:rPr>
        <w:t xml:space="preserve">Gap:</w:t>
      </w:r>
      <w:r>
        <w:t xml:space="preserve"> </w:t>
      </w:r>
      <w:r>
        <w:t xml:space="preserve">the Mondays of 21 and 28 September passed silently (tasks were disabled). The 3 Oct run covered the</w:t>
      </w:r>
      <w:r>
        <w:t xml:space="preserve"> </w:t>
      </w:r>
      <w:r>
        <w:t xml:space="preserve">window from mail and the web; the first full run (5 Oct) adds collector material and upgrades the Reported</w:t>
      </w:r>
      <w:r>
        <w:t xml:space="preserve"> </w:t>
      </w:r>
      <w:r>
        <w:t xml:space="preserve">Texas rows to Verified where the primary documents confirm them (C-01).</w:t>
      </w:r>
    </w:p>
    <w:p>
      <w:pPr>
        <w:numPr>
          <w:ilvl w:val="0"/>
          <w:numId w:val="1004"/>
        </w:numPr>
        <w:pStyle w:val="Compact"/>
      </w:pPr>
      <w:r>
        <w:rPr>
          <w:bCs/>
          <w:b/>
        </w:rPr>
        <w:t xml:space="preserve">Flags recounted 3 Oct:</w:t>
      </w:r>
      <w:r>
        <w:t xml:space="preserve"> </w:t>
      </w:r>
      <w:r>
        <w:t xml:space="preserve">superseded 3 rows (2 events), on appeal 4 rows;</w:t>
      </w:r>
      <w:r>
        <w:t xml:space="preserve"> </w:t>
      </w:r>
      <w:r>
        <w:rPr>
          <w:rStyle w:val="VerbatimChar"/>
        </w:rPr>
        <w:t xml:space="preserve">state.json</w:t>
      </w:r>
      <w:r>
        <w:t xml:space="preserve"> </w:t>
      </w:r>
      <w:r>
        <w:t xml:space="preserve">and</w:t>
      </w:r>
      <w:r>
        <w:t xml:space="preserve"> </w:t>
      </w:r>
      <w:r>
        <w:rPr>
          <w:rStyle w:val="VerbatimChar"/>
        </w:rPr>
        <w:t xml:space="preserve">rows.json</w:t>
      </w:r>
      <w:r>
        <w:t xml:space="preserve"> </w:t>
      </w:r>
      <w:r>
        <w:t xml:space="preserve">still carry</w:t>
      </w:r>
      <w:r>
        <w:t xml:space="preserve"> </w:t>
      </w:r>
      <w:r>
        <w:t xml:space="preserve">older values until the Sweep applies C-05. 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2"/>
    <w:bookmarkStart w:id="33" w:name="Xef8bdc6e629a2cb550558ad1a5ae858c3ae7fe6"/>
    <w:p>
      <w:pPr>
        <w:pStyle w:val="Heading2"/>
      </w:pPr>
      <w:r>
        <w:t xml:space="preserve">7. Coverage history, catch-up and corrections</w:t>
      </w:r>
    </w:p>
    <w:p>
      <w:pPr>
        <w:pStyle w:val="FirstParagraph"/>
      </w:pPr>
      <w:r>
        <w:rPr>
          <w:bCs/>
          <w:b/>
        </w:rPr>
        <w:t xml:space="preserve">How the baseline was built (and why it missed things):</w:t>
      </w:r>
      <w:r>
        <w:t xml:space="preserve"> </w:t>
      </w:r>
      <w:r>
        <w:t xml:space="preserve">- Phase 1 (investor disclosure), 2026-09-18: 39 events / 71 rows, 16 issuers, Q4 2025–Q2 2026.</w:t>
      </w:r>
      <w:r>
        <w:t xml:space="preserve"> </w:t>
      </w:r>
      <w:r>
        <w:t xml:space="preserve">- 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r>
        <w:t xml:space="preserve"> </w:t>
      </w:r>
      <w:r>
        <w:t xml:space="preserve">- 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BodyText"/>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r>
        <w:t xml:space="preserve"> </w:t>
      </w:r>
      <w:r>
        <w:t xml:space="preserve">1.</w:t>
      </w:r>
      <w:r>
        <w:t xml:space="preserve"> </w:t>
      </w: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r>
        <w:t xml:space="preserve"> </w:t>
      </w:r>
      <w:r>
        <w:t xml:space="preserve">2.</w:t>
      </w:r>
      <w:r>
        <w:t xml:space="preserve"> </w:t>
      </w: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w:t>
      </w:r>
      <w:r>
        <w:t xml:space="preserve"> </w:t>
      </w:r>
      <w:r>
        <w:t xml:space="preserve">“</w:t>
      </w:r>
      <w:r>
        <w:t xml:space="preserve">Albert H.</w:t>
      </w:r>
      <w:r>
        <w:t xml:space="preserve"> </w:t>
      </w:r>
      <w:r>
        <w:t xml:space="preserve">Acken, Atty.</w:t>
      </w:r>
      <w:r>
        <w:t xml:space="preserve">”</w:t>
      </w:r>
      <w:r>
        <w:t xml:space="preserve">).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r>
        <w:t xml:space="preserve"> </w:t>
      </w:r>
      <w:r>
        <w:t xml:space="preserve">3.</w:t>
      </w:r>
      <w:r>
        <w:t xml:space="preserve"> </w:t>
      </w: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r>
        <w:t xml:space="preserve"> </w:t>
      </w:r>
      <w:r>
        <w:t xml:space="preserve">4.</w:t>
      </w:r>
      <w:r>
        <w:t xml:space="preserve"> </w:t>
      </w: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(partly done 3 Oct as Reported; upgrade and overlay the stale baseline row) ·</w:t>
      </w:r>
      <w:r>
        <w:t xml:space="preserve"> </w:t>
      </w:r>
      <w:r>
        <w:t xml:space="preserve">C-02 Microsoft APS brief · C-03 Arizona XHLF eligibility · C-04 Louisiana U-37882 milestone · C-05 store</w:t>
      </w:r>
      <w:r>
        <w:t xml:space="preserve"> </w:t>
      </w:r>
      <w:r>
        <w:t xml:space="preserve">housekeeping · C-06 Texas text quality · C-07 backfill (ongoing until exhausted).</w:t>
      </w:r>
      <w:r>
        <w:t xml:space="preserve"> </w:t>
      </w:r>
      <w:r>
        <w:t xml:space="preserve">5.</w:t>
      </w:r>
      <w:r>
        <w:t xml:space="preserve"> </w:t>
      </w:r>
      <w:r>
        <w:rPr>
          <w:bCs/>
          <w:b/>
        </w:rPr>
        <w:t xml:space="preserve">Manual pass</w:t>
      </w:r>
      <w:r>
        <w:t xml:space="preserve"> </w:t>
      </w:r>
      <w:r>
        <w:t xml:space="preserve">for the states the cloud can’t read (§12).</w:t>
      </w:r>
    </w:p>
    <w:p>
      <w:r>
        <w:pict>
          <v:rect style="width:0;height:1.5pt" o:hralign="center" o:hrstd="t" o:hr="t"/>
        </w:pict>
      </w:r>
    </w:p>
    <w:bookmarkEnd w:id="33"/>
    <w:bookmarkStart w:id="34" w:name="X67b3a46f91e6f7b98188ef9013c0eae0dbd4dc6"/>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(WebFetch gets 402 on ~1 in 3 files; the collector doesn’t.)</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8 newest hits kept unconfirmed (page-text service errors); the Sweep confirms from PDF text.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w:t>
            </w:r>
            <w:r>
              <w:t xml:space="preserve"> </w:t>
            </w:r>
            <w:r>
              <w:t xml:space="preserve">“</w:t>
            </w:r>
            <w:r>
              <w:t xml:space="preserve">Full Export: XML</w:t>
            </w:r>
            <w:r>
              <w:t xml:space="preserve">”</w:t>
            </w:r>
            <w:r>
              <w:t xml:space="preserve"> </w:t>
            </w:r>
            <w:r>
              <w:t xml:space="preserve">button sends (observed in the built-in browser). Serial entries</w:t>
            </w:r>
            <w:r>
              <w:t xml:space="preserve"> </w:t>
            </w:r>
            <w:r>
              <w:t xml:space="preserve">“</w:t>
            </w:r>
            <w:r>
              <w:t xml:space="preserve">moved to</w:t>
            </w:r>
            <w:r>
              <w:t xml:space="preserve">”</w:t>
            </w:r>
            <w:r>
              <w:t xml:space="preserve"> </w:t>
            </w:r>
            <w:r>
              <w:t xml:space="preserve">a transition cycle and Long-Term Firm Transmission Service requests are skipped. Verified from the runners 4 Oct: baseline 228 serial + 664 cycle active projects in VA, OH, PA, IL, WV, NC. Working. ERCOT’s queue needs its API secrets (§9).</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built; needs</w:t>
            </w:r>
            <w:r>
              <w:t xml:space="preserve">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w:t>
            </w:r>
            <w:r>
              <w:t xml:space="preserve"> </w:t>
            </w:r>
            <w:r>
              <w:t xml:space="preserve">“</w:t>
            </w:r>
            <w:r>
              <w:t xml:space="preserve">Queued Up</w:t>
            </w:r>
            <w:r>
              <w:t xml:space="preserve">”</w:t>
            </w:r>
            <w:r>
              <w:t xml:space="preserve"> </w:t>
            </w:r>
            <w:r>
              <w:t xml:space="preserve">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w:t>
            </w:r>
            <w:r>
              <w:t xml:space="preserve"> </w:t>
            </w:r>
            <w:r>
              <w:t xml:space="preserve">“</w:t>
            </w:r>
            <w:r>
              <w:t xml:space="preserve">FERC</w:t>
            </w:r>
            <w:r>
              <w:t xml:space="preserve">”</w:t>
            </w:r>
            <w:r>
              <w:t xml:space="preserve">,</w:t>
            </w:r>
            <w:r>
              <w:t xml:space="preserve"> </w:t>
            </w:r>
            <w:r>
              <w:t xml:space="preserve">“</w:t>
            </w:r>
            <w:r>
              <w:t xml:space="preserve">ERCOT</w:t>
            </w:r>
            <w:r>
              <w:t xml:space="preserve">”</w:t>
            </w:r>
            <w:r>
              <w:t xml:space="preserve">;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 BODIpower@blueowl.com).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4"/>
    <w:bookmarkStart w:id="35" w:name="api-keys"/>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Wired now.</w:t>
      </w:r>
      <w:r>
        <w:t xml:space="preserve"> </w:t>
      </w:r>
      <w:r>
        <w:t xml:space="preserve">congress.gov runs nightly on api.data.gov’s public</w:t>
      </w:r>
      <w:r>
        <w:t xml:space="preserve"> </w:t>
      </w:r>
      <w:r>
        <w:rPr>
          <w:rStyle w:val="VerbatimChar"/>
        </w:rPr>
        <w:t xml:space="preserve">DEMO_KEY</w:t>
      </w:r>
      <w:r>
        <w:t xml:space="preserve"> </w:t>
      </w:r>
      <w:r>
        <w:t xml:space="preserve">(verified 3 Oct); EIA accepts it too but is often rate-limited on GitHub’s shared runners, so an</w:t>
      </w:r>
      <w:r>
        <w:t xml:space="preserve"> </w:t>
      </w:r>
      <w:r>
        <w:rPr>
          <w:rStyle w:val="VerbatimChar"/>
        </w:rPr>
        <w:t xml:space="preserve">EIA_API_KEY</w:t>
      </w:r>
      <w:r>
        <w:t xml:space="preserve"> </w:t>
      </w:r>
      <w:r>
        <w:t xml:space="preserve">is recommended. Open States and NRC ADAMS need their keys; CourtListener runs keyless but rate-limited (the workflow did not pass</w:t>
      </w:r>
      <w:r>
        <w:t xml:space="preserve"> </w:t>
      </w:r>
      <w:r>
        <w:rPr>
          <w:rStyle w:val="VerbatimChar"/>
        </w:rPr>
        <w:t xml:space="preserve">COURTLISTENER_TOKEN</w:t>
      </w:r>
      <w:r>
        <w:t xml:space="preserve"> </w:t>
      </w:r>
      <w:r>
        <w:t xml:space="preserve">before 3 Oct — it does now, together with</w:t>
      </w:r>
      <w:r>
        <w:t xml:space="preserve"> </w:t>
      </w:r>
      <w:r>
        <w:rPr>
          <w:rStyle w:val="VerbatimChar"/>
        </w:rPr>
        <w:t xml:space="preserve">NRC_APS_KEY</w:t>
      </w:r>
      <w:r>
        <w:t xml:space="preserve"> </w:t>
      </w:r>
      <w:r>
        <w:t xml:space="preserve">and the three ERCOT secrets):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r>
              <w:t xml:space="preserve"> </w:t>
            </w:r>
            <w:r>
              <w:t xml:space="preserve">(recommended)</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r>
              <w:t xml:space="preserve"> </w:t>
            </w:r>
            <w:r>
              <w:t xml:space="preserve">(optional)</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Removes keyless rate limiting (HTTP 429) on appellate and federal court searches</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 runs on DEMO_KEY until the secret exists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w:t>
            </w:r>
            <w:r>
              <w:t xml:space="preserve"> </w:t>
            </w:r>
            <w:r>
              <w:t xml:space="preserve">“</w:t>
            </w:r>
            <w:r>
              <w:t xml:space="preserve">ADAMS Public Search API</w:t>
            </w:r>
            <w:r>
              <w:t xml:space="preserve">”</w:t>
            </w:r>
            <w:r>
              <w:t xml:space="preserve"> </w:t>
            </w:r>
            <w:r>
              <w:t xml:space="preserve">→ Subscribe; the key is under</w:t>
            </w:r>
            <w:r>
              <w:t xml:space="preserve"> </w:t>
            </w:r>
            <w:r>
              <w:t xml:space="preserve">“</w:t>
            </w:r>
            <w:r>
              <w:t xml:space="preserve">Your Subscriptions</w:t>
            </w:r>
            <w:r>
              <w:t xml:space="preserve">”</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Route built 3 Oct (adapter</w:t>
            </w:r>
            <w:r>
              <w:t xml:space="preserve"> </w:t>
            </w:r>
            <w:r>
              <w:rPr>
                <w:rStyle w:val="VerbatimChar"/>
              </w:rPr>
              <w:t xml:space="preserve">ercot_large_load</w:t>
            </w:r>
            <w:r>
              <w:t xml:space="preserve">, untested until the secrets exist): report archives for ERCOT’s large-load data products by EMIL id</w:t>
            </w:r>
          </w:p>
        </w:tc>
      </w:tr>
    </w:tbl>
    <w:p>
      <w:pPr>
        <w:pStyle w:val="BodyText"/>
      </w:pPr>
      <w:r>
        <w:rPr>
          <w:bCs/>
          <w:b/>
        </w:rPr>
        <w:t xml:space="preserve">Recommended — would need an adapter built once the credentials exist (can’t be tested without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(custsvc@pjm.com)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35"/>
    <w:bookmarkStart w:id="36" w:name="X1ab6121ad7ada38d7ceac1ea00abf486efe3ea3"/>
    <w:p>
      <w:pPr>
        <w:pStyle w:val="Heading2"/>
      </w:pPr>
      <w:r>
        <w:t xml:space="preserve">10. Sources that refuse automated access, and the alternatives</w:t>
      </w:r>
    </w:p>
    <w:p>
      <w:pPr>
        <w:pStyle w:val="FirstParagraph"/>
      </w:pPr>
      <w:r>
        <w:t xml:space="preserve">“</w:t>
      </w:r>
      <w:r>
        <w:t xml:space="preserve">Refuse</w:t>
      </w:r>
      <w:r>
        <w:t xml:space="preserve">”</w:t>
      </w:r>
      <w:r>
        <w:t xml:space="preserve"> </w:t>
      </w:r>
      <w:r>
        <w:t xml:space="preserve">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 www.txcourts.gov (C)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w:t>
            </w:r>
            <w:r>
              <w:t xml:space="preserve"> </w:t>
            </w:r>
            <w:r>
              <w:t xml:space="preserve">“</w:t>
            </w:r>
            <w:r>
              <w:t xml:space="preserve">Queued Up</w:t>
            </w:r>
            <w:r>
              <w:t xml:space="preserve">”</w:t>
            </w:r>
            <w:r>
              <w:t xml:space="preserve"> </w:t>
            </w:r>
            <w:r>
              <w:t xml:space="preserve">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via WebFetch (402 on some files — collector unaffected); LegiScan (blocks by</w:t>
      </w:r>
      <w:r>
        <w:t xml:space="preserve"> </w:t>
      </w:r>
      <w:r>
        <w:t xml:space="preserve">IP — Open States instead); NM documents endpoint (empty until 3 Oct — repaired, see §8); OK page-text service (errors — Sweep</w:t>
      </w:r>
      <w:r>
        <w:t xml:space="preserve"> </w:t>
      </w:r>
      <w:r>
        <w:t xml:space="preserve">reads the PDF); Ohio Supreme Court opinion list (ASP.NET postback paging — CourtListener instead).</w:t>
      </w:r>
    </w:p>
    <w:p>
      <w:r>
        <w:pict>
          <v:rect style="width:0;height:1.5pt" o:hralign="center" o:hrstd="t" o:hr="t"/>
        </w:pict>
      </w:r>
    </w:p>
    <w:bookmarkEnd w:id="36"/>
    <w:bookmarkStart w:id="37" w:name="X4e34966748633f1ce6b57bdf0c86a09ee1604a0"/>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05"/>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05"/>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so it arrives through the ERCOT Public API once its secrets exist.</w:t>
      </w:r>
    </w:p>
    <w:p>
      <w:pPr>
        <w:numPr>
          <w:ilvl w:val="0"/>
          <w:numId w:val="1005"/>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05"/>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05"/>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which lists report archives by EMIL id. Until it is added,</w:t>
      </w:r>
      <w:r>
        <w:t xml:space="preserve"> </w:t>
      </w:r>
      <w:r>
        <w:t xml:space="preserve">the Sweep relies on the planning page’s direct links.</w:t>
      </w:r>
    </w:p>
    <w:p>
      <w:pPr>
        <w:numPr>
          <w:ilvl w:val="0"/>
          <w:numId w:val="1005"/>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37"/>
    <w:bookmarkStart w:id="38" w:name="the-manual-pass-how-to-run-it"/>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w:t>
      </w:r>
      <w:r>
        <w:t xml:space="preserve"> </w:t>
      </w:r>
      <w:r>
        <w:t xml:space="preserve">“</w:t>
      </w:r>
      <w:r>
        <w:t xml:space="preserve">Run now</w:t>
      </w:r>
      <w:r>
        <w:t xml:space="preserve">”</w:t>
      </w:r>
      <w:r>
        <w:t xml:space="preserve"> </w:t>
      </w:r>
      <w:r>
        <w:t xml:space="preserve">or</w:t>
      </w:r>
      <w:r>
        <w:t xml:space="preserve"> </w:t>
      </w:r>
      <w:r>
        <w:t xml:space="preserve">“</w:t>
      </w:r>
      <w:r>
        <w:t xml:space="preserve">Skip this week</w:t>
      </w:r>
      <w:r>
        <w:t xml:space="preserve">”</w:t>
      </w:r>
      <w:r>
        <w:t xml:space="preserve"> </w:t>
      </w:r>
      <w:r>
        <w:t xml:space="preserve">— one click. It does nothing without</w:t>
      </w:r>
      <w:r>
        <w:t xml:space="preserve"> </w:t>
      </w:r>
      <w:r>
        <w:t xml:space="preserve">“</w:t>
      </w:r>
      <w:r>
        <w:t xml:space="preserve">Run now</w:t>
      </w:r>
      <w:r>
        <w:t xml:space="preserve">”</w:t>
      </w:r>
      <w:r>
        <w:t xml:space="preserve">,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3 Oct).</w:t>
      </w:r>
    </w:p>
    <w:p>
      <w:r>
        <w:pict>
          <v:rect style="width:0;height:1.5pt" o:hralign="center" o:hrstd="t" o:hr="t"/>
        </w:pict>
      </w:r>
    </w:p>
    <w:bookmarkEnd w:id="38"/>
    <w:bookmarkStart w:id="39" w:name="Xcbae52c61f2a129b3974974e9cdba8c29e59f77"/>
    <w:p>
      <w:pPr>
        <w:pStyle w:val="Heading2"/>
      </w:pPr>
      <w:r>
        <w:t xml:space="preserve">13. Registry corrections — facts that were wrong (do not resurrect)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w:t>
            </w:r>
            <w:r>
              <w:t xml:space="preserve"> </w:t>
            </w:r>
            <w:r>
              <w:t xml:space="preserve">“</w:t>
            </w:r>
            <w:r>
              <w:t xml:space="preserve">Tin Branch</w:t>
            </w:r>
            <w:r>
              <w:t xml:space="preserve">”</w:t>
            </w:r>
            <w:r>
              <w:t xml:space="preserve"> </w:t>
            </w:r>
            <w:r>
              <w:t xml:space="preserve">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w:t>
            </w:r>
            <w:r>
              <w:t xml:space="preserve"> </w:t>
            </w:r>
            <w:r>
              <w:t xml:space="preserve">“</w:t>
            </w:r>
            <w:r>
              <w:t xml:space="preserve">Rate No. 51</w:t>
            </w:r>
            <w:r>
              <w:t xml:space="preserve">”</w:t>
            </w:r>
            <w:r>
              <w:t xml:space="preserve"> </w:t>
            </w:r>
            <w:r>
              <w:t xml:space="preserve">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w:t>
            </w:r>
            <w:r>
              <w:t xml:space="preserve"> </w:t>
            </w:r>
            <w:r>
              <w:t xml:space="preserve">“</w:t>
            </w:r>
            <w:r>
              <w:t xml:space="preserve">not established</w:t>
            </w:r>
            <w:r>
              <w:t xml:space="preserve">”</w:t>
            </w:r>
          </w:p>
        </w:tc>
        <w:tc>
          <w:tcPr/>
          <w:p>
            <w:pPr>
              <w:pStyle w:val="Compact"/>
              <w:jc w:val="left"/>
            </w:pPr>
            <w:r>
              <w:t xml:space="preserve">Established in the record: ≥5,000 kW, ≥92% LF in 9 of 12 months (C-03 writes it).</w:t>
            </w:r>
          </w:p>
        </w:tc>
      </w:tr>
      <w:tr>
        <w:tc>
          <w:tcPr/>
          <w:p>
            <w:pPr>
              <w:pStyle w:val="Compact"/>
              <w:jc w:val="left"/>
            </w:pPr>
            <w:r>
              <w:t xml:space="preserve">Batch Zero</w:t>
            </w:r>
            <w:r>
              <w:t xml:space="preserve"> </w:t>
            </w:r>
            <w:r>
              <w:t xml:space="preserve">“</w:t>
            </w:r>
            <w:r>
              <w:t xml:space="preserve">effective 2026-07-11, next Batch 1 2027-06-30</w:t>
            </w:r>
            <w:r>
              <w:t xml:space="preserve">”</w:t>
            </w:r>
          </w:p>
        </w:tc>
        <w:tc>
          <w:tcPr/>
          <w:p>
            <w:pPr>
              <w:pStyle w:val="Compact"/>
              <w:jc w:val="left"/>
            </w:pPr>
            <w:r>
              <w:t xml:space="preserve">Stale — paused since 2026-08-10 pending verification (C-01).</w:t>
            </w:r>
          </w:p>
        </w:tc>
      </w:tr>
    </w:tbl>
    <w:p>
      <w:pPr>
        <w:pStyle w:val="BodyText"/>
      </w:pPr>
      <w:r>
        <w:rPr>
          <w:bCs/>
          <w:b/>
        </w:rPr>
        <w:t xml:space="preserve">Louisiana U-37882 — unresolved conflict, queued as C-04.</w:t>
      </w:r>
      <w:r>
        <w:t xml:space="preserve"> </w:t>
      </w:r>
      <w:r>
        <w:t xml:space="preserve">One session read the LPSC order as decided at</w:t>
      </w:r>
      <w:r>
        <w:t xml:space="preserve"> </w:t>
      </w:r>
      <w:r>
        <w:t xml:space="preserve">the 2026-04-15 B&amp;E session, order issued 2026-05-14. Another established that the LPSC took original</w:t>
      </w:r>
      <w:r>
        <w:t xml:space="preserve"> </w:t>
      </w:r>
      <w:r>
        <w:t xml:space="preserve">jurisdiction on 2026-05-14 and set a</w:t>
      </w:r>
      <w:r>
        <w:t xml:space="preserve"> </w:t>
      </w:r>
      <w:r>
        <w:rPr>
          <w:bCs/>
          <w:b/>
        </w:rPr>
        <w:t xml:space="preserve">2026-12-16</w:t>
      </w:r>
      <w:r>
        <w:t xml:space="preserve"> </w:t>
      </w:r>
      <w:r>
        <w:t xml:space="preserve">vote on certifying ~5,200 MW for Entergy/Meta. The Sweep</w:t>
      </w:r>
      <w:r>
        <w:t xml:space="preserve"> </w:t>
      </w:r>
      <w:r>
        <w:t xml:space="preserve">reads the docket’s newest orders and keeps or corrects the 2026-12-16 milestone. Background: filed 2026-03-25</w:t>
      </w:r>
      <w:r>
        <w:t xml:space="preserve"> </w:t>
      </w:r>
      <w:r>
        <w:t xml:space="preserve">for Evest LLC, Richland Parish, adjacent to the Laidley facility (U-37425), under the LPSC</w:t>
      </w:r>
      <w:r>
        <w:t xml:space="preserve"> </w:t>
      </w:r>
      <w:r>
        <w:t xml:space="preserve">“</w:t>
      </w:r>
      <w:r>
        <w:t xml:space="preserve">Lightning</w:t>
      </w:r>
      <w:r>
        <w:t xml:space="preserve"> </w:t>
      </w:r>
      <w:r>
        <w:t xml:space="preserve">Directive</w:t>
      </w:r>
      <w:r>
        <w:t xml:space="preserve">”</w:t>
      </w:r>
      <w:r>
        <w:t xml:space="preserve"> </w:t>
      </w:r>
      <w:r>
        <w:t xml:space="preserve">of 2025-12-17; claims ~$2.67bn of benefits to other ELL customers.</w:t>
      </w:r>
    </w:p>
    <w:p>
      <w:r>
        <w:pict>
          <v:rect style="width:0;height:1.5pt" o:hralign="center" o:hrstd="t" o:hr="t"/>
        </w:pict>
      </w:r>
    </w:p>
    <w:bookmarkEnd w:id="39"/>
    <w:bookmarkStart w:id="40" w:name="X732b9bd6ca27d0ef967249f724a63f42a0501c5"/>
    <w:p>
      <w:pPr>
        <w:pStyle w:val="Heading2"/>
      </w:pPr>
      <w:r>
        <w:t xml:space="preserve">14. Structural findings, explicit negatives, watch signals</w:t>
      </w:r>
    </w:p>
    <w:p>
      <w:pPr>
        <w:pStyle w:val="FirstParagraph"/>
      </w:pPr>
      <w:r>
        <w:rPr>
          <w:bCs/>
          <w:b/>
        </w:rPr>
        <w:t xml:space="preserve">Structural findings (change what to look for):</w:t>
      </w:r>
      <w:r>
        <w:t xml:space="preserve"> </w:t>
      </w:r>
      <w:r>
        <w:t xml:space="preserve">-</w:t>
      </w:r>
      <w:r>
        <w:t xml:space="preserve"> </w:t>
      </w: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r>
        <w:t xml:space="preserve"> </w:t>
      </w:r>
      <w:r>
        <w:t xml:space="preserve">-</w:t>
      </w:r>
      <w:r>
        <w:t xml:space="preserve"> </w:t>
      </w: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r>
        <w:t xml:space="preserve"> </w:t>
      </w:r>
      <w:r>
        <w:t xml:space="preserve">-</w:t>
      </w:r>
      <w:r>
        <w:t xml:space="preserve"> </w:t>
      </w: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r>
        <w:t xml:space="preserve"> </w:t>
      </w:r>
      <w:r>
        <w:t xml:space="preserve">-</w:t>
      </w:r>
      <w:r>
        <w:t xml:space="preserve"> </w:t>
      </w:r>
      <w:r>
        <w:rPr>
          <w:bCs/>
          <w:b/>
        </w:rPr>
        <w:t xml:space="preserve">Ameren’s construction-agreement total includes ESAs</w:t>
      </w:r>
      <w:r>
        <w:t xml:space="preserve">; the without-ESA figure is never stated and must</w:t>
      </w:r>
      <w:r>
        <w:t xml:space="preserve"> </w:t>
      </w:r>
      <w:r>
        <w:t xml:space="preserve">never be derived.</w:t>
      </w:r>
      <w:r>
        <w:t xml:space="preserve"> </w:t>
      </w:r>
      <w:r>
        <w:t xml:space="preserve">-</w:t>
      </w:r>
      <w:r>
        <w:t xml:space="preserve"> </w:t>
      </w:r>
      <w:r>
        <w:rPr>
          <w:bCs/>
          <w:b/>
        </w:rPr>
        <w:t xml:space="preserve">Exelon changed disclosure methodology at Q2 2026</w:t>
      </w:r>
      <w:r>
        <w:t xml:space="preserve"> </w:t>
      </w:r>
      <w:r>
        <w:t xml:space="preserve">(~11 GW not comparable to prior ~18–19 GW).</w:t>
      </w:r>
      <w:r>
        <w:t xml:space="preserve"> </w:t>
      </w:r>
      <w:r>
        <w:t xml:space="preserve">-</w:t>
      </w:r>
      <w:r>
        <w:t xml:space="preserve"> </w:t>
      </w:r>
      <w:r>
        <w:rPr>
          <w:bCs/>
          <w:b/>
        </w:rPr>
        <w:t xml:space="preserve">TXNM/PNM has published nothing since 2025-05-19</w:t>
      </w:r>
      <w:r>
        <w:t xml:space="preserve"> </w:t>
      </w:r>
      <w:r>
        <w:t xml:space="preserve">pending the Blackstone acquisition — a market fact.</w:t>
      </w:r>
    </w:p>
    <w:p>
      <w:pPr>
        <w:pStyle w:val="BodyText"/>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w:t>
      </w:r>
      <w:r>
        <w:t xml:space="preserve"> </w:t>
      </w:r>
      <w:r>
        <w:t xml:space="preserve">“</w:t>
      </w:r>
      <w:r>
        <w:t xml:space="preserve">data center</w:t>
      </w:r>
      <w:r>
        <w:t xml:space="preserve">”</w:t>
      </w:r>
      <w:r>
        <w:t xml:space="preserve"> </w:t>
      </w:r>
      <w:r>
        <w:t xml:space="preserve">or</w:t>
      </w:r>
      <w:r>
        <w:t xml:space="preserve"> </w:t>
      </w:r>
      <w:r>
        <w:t xml:space="preserve">“</w:t>
      </w:r>
      <w:r>
        <w:t xml:space="preserve">large load</w:t>
      </w:r>
      <w:r>
        <w:t xml:space="preserve">”</w:t>
      </w:r>
      <w:r>
        <w:t xml:space="preserve">; best unverified candidate 24-0611-E-T-PW, not registered);</w:t>
      </w:r>
      <w:r>
        <w:t xml:space="preserve"> </w:t>
      </w:r>
      <w:r>
        <w:t xml:space="preserve">South Carolina (no</w:t>
      </w:r>
      <w:r>
        <w:t xml:space="preserve"> </w:t>
      </w:r>
      <w:r>
        <w:t xml:space="preserve">“</w:t>
      </w:r>
      <w:r>
        <w:t xml:space="preserve">data center</w:t>
      </w:r>
      <w:r>
        <w:t xml:space="preserve">”</w:t>
      </w:r>
      <w:r>
        <w:t xml:space="preserve"> </w:t>
      </w:r>
      <w:r>
        <w:t xml:space="preserve">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w:t>
      </w:r>
      <w:r>
        <w:t xml:space="preserve"> </w:t>
      </w:r>
      <w:r>
        <w:t xml:space="preserve">“</w:t>
      </w:r>
      <w:r>
        <w:t xml:space="preserve">economic development</w:t>
      </w:r>
      <w:r>
        <w:t xml:space="preserve">”</w:t>
      </w:r>
      <w:r>
        <w:t xml:space="preserve"> </w:t>
      </w:r>
      <w:r>
        <w:t xml:space="preserve">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0"/>
    <w:bookmarkStart w:id="41" w:name="benchmarks-standing-facts-and-milestones"/>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r>
        <w:t xml:space="preserve"> </w:t>
      </w:r>
      <w:r>
        <w:t xml:space="preserve">- 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r>
        <w:t xml:space="preserve"> </w:t>
      </w:r>
      <w:r>
        <w:t xml:space="preserve">-</w:t>
      </w:r>
      <w:r>
        <w:t xml:space="preserve"> </w:t>
      </w: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r>
        <w:t xml:space="preserve"> </w:t>
      </w:r>
      <w:r>
        <w:t xml:space="preserve">- ERCOT: &gt;438,000 MW of large-load requests (~89% data centers); long-term forecast ~367,790 MW by 2032 vs an</w:t>
      </w:r>
      <w:r>
        <w:t xml:space="preserve"> </w:t>
      </w:r>
      <w:r>
        <w:t xml:space="preserve">85,508 MW peak.</w:t>
      </w:r>
      <w:r>
        <w:t xml:space="preserve"> </w:t>
      </w:r>
      <w:r>
        <w:t xml:space="preserve">- PJM: second consecutive shortfall auction — 138,318 MW cleared at the $325/MW-day cap, 6,831 MW short.</w:t>
      </w:r>
      <w:r>
        <w:t xml:space="preserve"> </w:t>
      </w:r>
      <w:r>
        <w:t xml:space="preserve">-</w:t>
      </w:r>
      <w:r>
        <w:t xml:space="preserve"> </w:t>
      </w: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r>
        <w:t xml:space="preserve"> </w:t>
      </w:r>
      <w:r>
        <w:t xml:space="preserve">- Four baseline rows on appeal, including Virginia Rider T1 (Microsoft) and ApCo Schedule L.P.S. (Retail</w:t>
      </w:r>
      <w:r>
        <w:t xml:space="preserve"> </w:t>
      </w:r>
      <w:r>
        <w:t xml:space="preserve">Energy Advancement League).</w:t>
      </w:r>
    </w:p>
    <w:p>
      <w:pPr>
        <w:pStyle w:val="BodyText"/>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Duke NC large-load tariff filing due; Ameren Missouri triennial IRP (~3 GW requested); OG&amp;E reported hearing (unconfirmed)</w:t>
            </w:r>
          </w:p>
        </w:tc>
        <w:tc>
          <w:tcPr/>
          <w:p>
            <w:pPr>
              <w:pStyle w:val="Compact"/>
              <w:jc w:val="left"/>
            </w:pPr>
            <w:r>
              <w:t xml:space="preserve">past — outcome needed</w:t>
            </w:r>
          </w:p>
        </w:tc>
      </w:tr>
      <w:tr>
        <w:tc>
          <w:tcPr/>
          <w:p>
            <w:pPr>
              <w:pStyle w:val="Compact"/>
              <w:jc w:val="left"/>
            </w:pPr>
            <w:r>
              <w:t xml:space="preserve">2026-10-01</w:t>
            </w:r>
          </w:p>
        </w:tc>
        <w:tc>
          <w:tcPr/>
          <w:p>
            <w:pPr>
              <w:pStyle w:val="Compact"/>
              <w:jc w:val="left"/>
            </w:pPr>
            <w:r>
              <w:t xml:space="preserve">Alabama Act 610 effective (review at 150 MW+); MISO BPM-032 v1.0 due</w:t>
            </w:r>
          </w:p>
        </w:tc>
        <w:tc>
          <w:tcPr/>
          <w:p>
            <w:pPr>
              <w:pStyle w:val="Compact"/>
              <w:jc w:val="left"/>
            </w:pPr>
            <w:r>
              <w:t xml:space="preserve">past — outcome needed</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2026-10-12</w:t>
            </w:r>
          </w:p>
        </w:tc>
        <w:tc>
          <w:tcPr/>
          <w:p>
            <w:pPr>
              <w:pStyle w:val="Compact"/>
              <w:jc w:val="left"/>
            </w:pPr>
            <w:r>
              <w:t xml:space="preserve">ERCOT State and Community Impact RFI responses due (5 pm CT)</w:t>
            </w:r>
          </w:p>
        </w:tc>
        <w:tc>
          <w:tcPr/>
          <w:p>
            <w:pPr>
              <w:pStyle w:val="Compact"/>
              <w:jc w:val="left"/>
            </w:pPr>
            <w:r>
              <w:t xml:space="preserve">recorded 3 Oct (Reported)</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2026-12-16</w:t>
            </w:r>
          </w:p>
        </w:tc>
        <w:tc>
          <w:tcPr/>
          <w:p>
            <w:pPr>
              <w:pStyle w:val="Compact"/>
              <w:jc w:val="left"/>
            </w:pPr>
            <w:r>
              <w:t xml:space="preserve">LPSC vote on ~5,200 MW Entergy/Meta, U-37882</w:t>
            </w:r>
          </w:p>
        </w:tc>
        <w:tc>
          <w:tcPr/>
          <w:p>
            <w:pPr>
              <w:pStyle w:val="Compact"/>
              <w:jc w:val="left"/>
            </w:pPr>
            <w:r>
              <w:t xml:space="preserve">under review (C-04)</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with v3 status):</w:t>
      </w:r>
      <w:r>
        <w:t xml:space="preserve"> </w:t>
      </w:r>
      <w:r>
        <w:t xml:space="preserve">Oklahoma’s two Unverified rows</w:t>
      </w:r>
      <w:r>
        <w:t xml:space="preserve"> </w:t>
      </w:r>
      <w:r>
        <w:t xml:space="preserve">(PUD2026-000031, reported OG&amp;E special contract, counterparty reported as Google; PUD2026-000046, reported</w:t>
      </w:r>
      <w:r>
        <w:t xml:space="preserve"> </w:t>
      </w:r>
      <w:r>
        <w:t xml:space="preserve">“</w:t>
      </w:r>
      <w:r>
        <w:t xml:space="preserve">Extra Large Power &amp; Light</w:t>
      </w:r>
      <w:r>
        <w:t xml:space="preserve">”</w:t>
      </w:r>
      <w:r>
        <w:t xml:space="preserve"> </w:t>
      </w:r>
      <w:r>
        <w:t xml:space="preserve">tariff) — portal now reachable, confirmation in progress; Arizona XHLF — closable</w:t>
      </w:r>
      <w:r>
        <w:t xml:space="preserve"> </w:t>
      </w:r>
      <w:r>
        <w:t xml:space="preserve">(C-03); Virginia CIAC docket number — watch; Kansas</w:t>
      </w:r>
      <w:r>
        <w:t xml:space="preserve"> </w:t>
      </w:r>
      <w:r>
        <w:rPr>
          <w:rStyle w:val="VerbatimChar"/>
        </w:rPr>
        <w:t xml:space="preserve">26-EKCE-148-STG</w:t>
      </w:r>
      <w:r>
        <w:t xml:space="preserve"> </w:t>
      </w:r>
      <w:r>
        <w:t xml:space="preserve">(133-mile Buffalo Flats–Delaware 345 kV)</w:t>
      </w:r>
      <w:r>
        <w:t xml:space="preserve"> </w:t>
      </w:r>
      <w:r>
        <w:t xml:space="preserve">— excluded on materiality; Texas</w:t>
      </w:r>
      <w:r>
        <w:t xml:space="preserve"> </w:t>
      </w:r>
      <w:r>
        <w:t xml:space="preserve">“</w:t>
      </w:r>
      <w:r>
        <w:t xml:space="preserve">capped at Reported</w:t>
      </w:r>
      <w:r>
        <w:t xml:space="preserve">”</w:t>
      </w:r>
      <w:r>
        <w:t xml:space="preserve"> </w:t>
      </w:r>
      <w:r>
        <w:t xml:space="preserve">— under review (C-06).</w:t>
      </w:r>
    </w:p>
    <w:p>
      <w:r>
        <w:pict>
          <v:rect style="width:0;height:1.5pt" o:hralign="center" o:hrstd="t" o:hr="t"/>
        </w:pict>
      </w:r>
    </w:p>
    <w:bookmarkEnd w:id="41"/>
    <w:bookmarkStart w:id="42" w:name="verification-record"/>
    <w:p>
      <w:pPr>
        <w:pStyle w:val="Heading2"/>
      </w:pPr>
      <w:r>
        <w:t xml:space="preserve">16. Verification record</w:t>
      </w:r>
    </w:p>
    <w:p>
      <w:pPr>
        <w:pStyle w:val="FirstParagraph"/>
      </w:pPr>
      <w:r>
        <w:rPr>
          <w:bCs/>
          <w:b/>
        </w:rPr>
        <w:t xml:space="preserve">2 October 2026 (build day):</w:t>
      </w:r>
      <w:r>
        <w:t xml:space="preserve"> </w:t>
      </w:r>
      <w:r>
        <w:t xml:space="preserve">- Reachability probe from GitHub Actions: open hosts confirmed; six commissions closed by their owners (VA, SC,</w:t>
      </w:r>
      <w:r>
        <w:t xml:space="preserve"> </w:t>
      </w:r>
      <w:r>
        <w:t xml:space="preserve">IL, OH, NC, WV); PA open only to WebFetch; EDGAR opened by the declared UA.</w:t>
      </w:r>
      <w:r>
        <w:t xml:space="preserve"> </w:t>
      </w:r>
      <w:r>
        <w:t xml:space="preserve">- 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r>
        <w:t xml:space="preserve"> </w:t>
      </w:r>
      <w:r>
        <w:t xml:space="preserve">- First collector run: 334 new items, 160 documents extracted, ~20 minutes. Fixed AZ, MO, OK (partly), TLS</w:t>
      </w:r>
      <w:r>
        <w:t xml:space="preserve"> </w:t>
      </w:r>
      <w:r>
        <w:t xml:space="preserve">chains; added PUCT 58317, party watch, governor and PUCT news pages.</w:t>
      </w:r>
      <w:r>
        <w:t xml:space="preserve"> </w:t>
      </w:r>
      <w:r>
        <w:t xml:space="preserve">- 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BodyText"/>
      </w:pPr>
      <w:r>
        <w:rPr>
          <w:bCs/>
          <w:b/>
        </w:rPr>
        <w:t xml:space="preserve">2–3 October (verification runs):</w:t>
      </w:r>
      <w:r>
        <w:t xml:space="preserve"> </w:t>
      </w:r>
      <w:r>
        <w:t xml:space="preserve">-</w:t>
      </w:r>
      <w:r>
        <w:t xml:space="preserve"> </w:t>
      </w: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r>
        <w:t xml:space="preserve"> </w:t>
      </w:r>
      <w:r>
        <w:t xml:space="preserve">-</w:t>
      </w:r>
      <w:r>
        <w:t xml:space="preserve"> </w:t>
      </w: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r>
        <w:t xml:space="preserve"> </w:t>
      </w:r>
      <w:r>
        <w:t xml:space="preserve">-</w:t>
      </w:r>
      <w:r>
        <w:t xml:space="preserve"> </w:t>
      </w: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r>
        <w:t xml:space="preserve"> </w:t>
      </w:r>
      <w:r>
        <w:t xml:space="preserve">- Second-wave sources probed and working: MISO/SPP queues, 8 Legistar clients, capacity pages, VA appellate</w:t>
      </w:r>
      <w:r>
        <w:t xml:space="preserve"> </w:t>
      </w:r>
      <w:r>
        <w:t xml:space="preserve">courts, 8 more governors, 6 of 7 IRP/RFP pages, DOE pages, ERCOT notice archive (23 links).</w:t>
      </w:r>
      <w:r>
        <w:t xml:space="preserve"> </w:t>
      </w:r>
      <w:r>
        <w:t xml:space="preserve">- 3 Oct: WebFetch confirmed for ERCOT large-load, planning and board pages, PJM newsroom, Kansas governor and Duke</w:t>
      </w:r>
      <w:r>
        <w:t xml:space="preserve"> </w:t>
      </w:r>
      <w:r>
        <w:t xml:space="preserve">IRP; added to Sweep steps 6.4 and 6.6. Arizona governor refuses both routes.</w:t>
      </w:r>
    </w:p>
    <w:p>
      <w:pPr>
        <w:pStyle w:val="BodyText"/>
      </w:pPr>
      <w:r>
        <w:rPr>
          <w:bCs/>
          <w:b/>
        </w:rPr>
        <w:t xml:space="preserve">3 October, afternoon — full review:</w:t>
      </w:r>
      <w:r>
        <w:t xml:space="preserve"> </w:t>
      </w:r>
      <w:r>
        <w:t xml:space="preserve">- 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r>
        <w:t xml:space="preserve"> </w:t>
      </w:r>
      <w:r>
        <w:t xml:space="preserve">- Removed: v1 reachability probe and its workflow, discovery outputs, the superseded architecture note, four</w:t>
      </w:r>
      <w:r>
        <w:t xml:space="preserve"> </w:t>
      </w:r>
      <w:r>
        <w:t xml:space="preserve">obsolete project docs and the duplicate context copy, four v1 artifacts.</w:t>
      </w:r>
      <w:r>
        <w:t xml:space="preserve"> </w:t>
      </w:r>
      <w:r>
        <w:t xml:space="preserve">- Added: the Friday manual-pass reminder task.</w:t>
      </w:r>
      <w:r>
        <w:t xml:space="preserve"> </w:t>
      </w:r>
      <w:r>
        <w:t xml:space="preserve">- 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w:t>
      </w:r>
      <w:r>
        <w:t xml:space="preserve"> </w:t>
      </w:r>
      <w:r>
        <w:t xml:space="preserve">“</w:t>
      </w:r>
      <w:r>
        <w:t xml:space="preserve">AWS</w:t>
      </w:r>
      <w:r>
        <w:t xml:space="preserve">”</w:t>
      </w:r>
      <w:r>
        <w:t xml:space="preserve"> </w:t>
      </w:r>
      <w:r>
        <w:t xml:space="preserve">matched</w:t>
      </w:r>
      <w:r>
        <w:t xml:space="preserve"> </w:t>
      </w:r>
      <w:r>
        <w:t xml:space="preserve">“</w:t>
      </w:r>
      <w:r>
        <w:t xml:space="preserve">Dawson’s</w:t>
      </w:r>
      <w:r>
        <w:t xml:space="preserve">”</w:t>
      </w:r>
      <w:r>
        <w:t xml:space="preserve">;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BodyText"/>
      </w:pPr>
      <w:r>
        <w:rPr>
          <w:bCs/>
          <w:b/>
        </w:rPr>
        <w:t xml:space="preserve">3–4 October, evening — wave 3 sources (verified from the runners):</w:t>
      </w:r>
      <w:r>
        <w:t xml:space="preserve"> </w:t>
      </w:r>
      <w:r>
        <w:t xml:space="preserve">- 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r>
        <w:t xml:space="preserve"> </w:t>
      </w:r>
      <w:r>
        <w:t xml:space="preserve">-</w:t>
      </w:r>
      <w:r>
        <w:t xml:space="preserve"> </w:t>
      </w: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r>
        <w:t xml:space="preserve"> </w:t>
      </w:r>
      <w:r>
        <w:t xml:space="preserve">-</w:t>
      </w:r>
      <w:r>
        <w:t xml:space="preserve"> </w:t>
      </w: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r>
        <w:t xml:space="preserve"> </w:t>
      </w:r>
      <w:r>
        <w:t xml:space="preserve">- 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r>
        <w:t xml:space="preserve"> </w:t>
      </w:r>
      <w:r>
        <w:t xml:space="preserve">- 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r>
        <w:t xml:space="preserve"> </w:t>
      </w:r>
      <w:r>
        <w:t xml:space="preserve">- 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w:t>
      </w:r>
      <w:r>
        <w:t xml:space="preserve"> </w:t>
      </w:r>
      <w:r>
        <w:t xml:space="preserve">“</w:t>
      </w:r>
      <w:r>
        <w:t xml:space="preserve">Data Centers</w:t>
      </w:r>
      <w:r>
        <w:t xml:space="preserve">”</w:t>
      </w:r>
      <w:r>
        <w:t xml:space="preserve"> </w:t>
      </w:r>
      <w:r>
        <w:t xml:space="preserve">menu item, so their filter requires a land-use action nearby.</w:t>
      </w:r>
    </w:p>
    <w:p>
      <w:pPr>
        <w:pStyle w:val="BodyText"/>
      </w:pPr>
      <w:r>
        <w:rPr>
          <w:bCs/>
          <w:b/>
        </w:rPr>
        <w:t xml:space="preserve">Not yet verified end to end:</w:t>
      </w:r>
      <w:r>
        <w:t xml:space="preserve"> </w:t>
      </w:r>
      <w:r>
        <w:t xml:space="preserve">a scheduled Sweep reading collector data through the public clone — first test</w:t>
      </w:r>
      <w:r>
        <w:t xml:space="preserve"> </w:t>
      </w:r>
      <w:r>
        <w:rPr>
          <w:bCs/>
          <w:b/>
        </w:rPr>
        <w:t xml:space="preserve">Monday 5 Oct, 03:54 PT</w:t>
      </w:r>
      <w:r>
        <w:t xml:space="preserve">.</w:t>
      </w:r>
    </w:p>
    <w:p>
      <w:r>
        <w:pict>
          <v:rect style="width:0;height:1.5pt" o:hralign="center" o:hrstd="t" o:hr="t"/>
        </w:pict>
      </w:r>
    </w:p>
    <w:bookmarkEnd w:id="42"/>
    <w:bookmarkStart w:id="43" w:name="sources"/>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3"/>
    <w:bookmarkStart w:id="44" w:name="Xc601d11a3e56a980cc8f087f958a4590814d9ef"/>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r>
        <w:t xml:space="preserve"> </w:t>
      </w:r>
      <w:r>
        <w:t xml:space="preserve">1.</w:t>
      </w:r>
      <w:r>
        <w:t xml:space="preserve"> </w:t>
      </w:r>
      <w:r>
        <w:rPr>
          <w:bCs/>
          <w:b/>
        </w:rPr>
        <w:t xml:space="preserve">Fridays:</w:t>
      </w:r>
      <w:r>
        <w:t xml:space="preserve"> </w:t>
      </w:r>
      <w:r>
        <w:t xml:space="preserve">keep the desktop app open around 9:04 am PT and click</w:t>
      </w:r>
      <w:r>
        <w:t xml:space="preserve"> </w:t>
      </w:r>
      <w:r>
        <w:t xml:space="preserve">“</w:t>
      </w:r>
      <w:r>
        <w:t xml:space="preserve">Run now</w:t>
      </w:r>
      <w:r>
        <w:t xml:space="preserve">”</w:t>
      </w:r>
      <w:r>
        <w:t xml:space="preserve"> </w:t>
      </w:r>
      <w:r>
        <w:t xml:space="preserve">(or run</w:t>
      </w:r>
      <w:r>
        <w:t xml:space="preserve"> </w:t>
      </w:r>
      <w:r>
        <w:rPr>
          <w:rStyle w:val="VerbatimChar"/>
        </w:rPr>
        <w:t xml:space="preserve">/grid-docket-manual-pass</w:t>
      </w:r>
      <w:r>
        <w:t xml:space="preserve"> </w:t>
      </w:r>
      <w:r>
        <w:t xml:space="preserve">whenever convenient).</w:t>
      </w:r>
      <w:r>
        <w:t xml:space="preserve"> </w:t>
      </w:r>
      <w:r>
        <w:t xml:space="preserve">2.</w:t>
      </w:r>
      <w:r>
        <w:t xml:space="preserve"> </w:t>
      </w:r>
      <w:r>
        <w:rPr>
          <w:bCs/>
          <w:b/>
        </w:rPr>
        <w:t xml:space="preserve">Keys:</w:t>
      </w:r>
      <w:r>
        <w:t xml:space="preserve"> </w:t>
      </w:r>
      <w:r>
        <w:t xml:space="preserve">all saved and verified 4 Oct, including the ERCOT Public API sign-in. PJM API account still optional; a session with push access builds that adapter.</w:t>
      </w:r>
      <w:r>
        <w:t xml:space="preserve"> </w:t>
      </w:r>
      <w:r>
        <w:t xml:space="preserve">3.</w:t>
      </w:r>
      <w:r>
        <w:t xml:space="preserve"> </w:t>
      </w: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r>
        <w:t xml:space="preserve"> </w:t>
      </w:r>
      <w:r>
        <w:t xml:space="preserve">4.</w:t>
      </w:r>
      <w:r>
        <w:t xml:space="preserve"> </w:t>
      </w:r>
      <w:r>
        <w:rPr>
          <w:bCs/>
          <w:b/>
        </w:rPr>
        <w:t xml:space="preserve">Optional decisions:</w:t>
      </w:r>
      <w:r>
        <w:t xml:space="preserve"> </w:t>
      </w:r>
      <w:r>
        <w:t xml:space="preserve">recipients after burn-in (only Rett now; possibly BODIpower@blueowl.com);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BodyText"/>
      </w:pPr>
      <w:r>
        <w:rPr>
          <w:bCs/>
          <w:b/>
        </w:rPr>
        <w:t xml:space="preserve">Remaining gaps and how they are filled: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read the 5 Oct Sweep run record (</w:t>
      </w:r>
      <w:r>
        <w:rPr>
          <w:rStyle w:val="VerbatimChar"/>
        </w:rPr>
        <w:t xml:space="preserve">/GridDocket/runs/</w:t>
      </w:r>
      <w:r>
        <w:t xml:space="preserve">) and Brief record</w:t>
      </w:r>
      <w:r>
        <w:t xml:space="preserve"> </w:t>
      </w:r>
      <w:r>
        <w:t xml:space="preserve">(</w:t>
      </w:r>
      <w:r>
        <w:rPr>
          <w:rStyle w:val="VerbatimChar"/>
        </w:rPr>
        <w:t xml:space="preserve">/GridDocket/briefs/</w:t>
      </w:r>
      <w:r>
        <w:t xml:space="preserve">); confirm the Sweep ran FULL (not degraded) and read the 2–3 Oct candidates; apply any</w:t>
      </w:r>
      <w:r>
        <w:t xml:space="preserve"> </w:t>
      </w:r>
      <w:r>
        <w:t xml:space="preserve">repair proposals; check</w:t>
      </w:r>
      <w:r>
        <w:t xml:space="preserve"> </w:t>
      </w:r>
      <w:r>
        <w:rPr>
          <w:rStyle w:val="VerbatimChar"/>
        </w:rPr>
        <w:t xml:space="preserve">data/health/latest.json</w:t>
      </w:r>
      <w:r>
        <w:t xml:space="preserve"> </w:t>
      </w:r>
      <w:r>
        <w:t xml:space="preserve">→</w:t>
      </w:r>
      <w:r>
        <w:t xml:space="preserve"> </w:t>
      </w:r>
      <w:r>
        <w:rPr>
          <w:rStyle w:val="VerbatimChar"/>
        </w:rPr>
        <w:t xml:space="preserve">backfill_text</w:t>
      </w:r>
      <w:r>
        <w:t xml:space="preserve"> </w:t>
      </w:r>
      <w:r>
        <w:t xml:space="preserve">progress; confirm all three scheduled tasks</w:t>
      </w:r>
      <w:r>
        <w:t xml:space="preserve"> </w:t>
      </w:r>
      <w:r>
        <w:t xml:space="preserve">are enabled; open the console and confirm the Brief republished v8 (sections 01–12,</w:t>
      </w:r>
      <w:r>
        <w:t xml:space="preserve"> </w:t>
      </w:r>
      <w:r>
        <w:t xml:space="preserve">“</w:t>
      </w:r>
      <w:r>
        <w:t xml:space="preserve">What changed</w:t>
      </w:r>
      <w:r>
        <w:t xml:space="preserve">”</w:t>
      </w:r>
      <w:r>
        <w:t xml:space="preserve"> </w:t>
      </w:r>
      <w:r>
        <w:t xml:space="preserve">showing the</w:t>
      </w:r>
      <w:r>
        <w:t xml:space="preserve"> </w:t>
      </w:r>
      <w:r>
        <w:t xml:space="preserve">5 Oct run, Coverage filled from the full state.json); add a</w:t>
      </w:r>
      <w:r>
        <w:t xml:space="preserve"> </w:t>
      </w:r>
      <w:r>
        <w:rPr>
          <w:rStyle w:val="VerbatimChar"/>
        </w:rPr>
        <w:t xml:space="preserve">coverage_marks</w:t>
      </w:r>
      <w:r>
        <w:t xml:space="preserve"> </w:t>
      </w:r>
      <w:r>
        <w:t xml:space="preserve">line for the first full Sweep.</w:t>
      </w:r>
    </w:p>
    <w:p>
      <w:r>
        <w:pict>
          <v:rect style="width:0;height:1.5pt" o:hralign="center" o:hrstd="t" o:hr="t"/>
        </w:pict>
      </w:r>
    </w:p>
    <w:bookmarkEnd w:id="44"/>
    <w:bookmarkStart w:id="45" w:name="process-lessons-do-not-repeat"/>
    <w:p>
      <w:pPr>
        <w:pStyle w:val="Heading2"/>
      </w:pPr>
      <w:r>
        <w:t xml:space="preserve">19. Process lessons (do not repeat)</w:t>
      </w:r>
    </w:p>
    <w:p>
      <w:pPr>
        <w:numPr>
          <w:ilvl w:val="0"/>
          <w:numId w:val="1006"/>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06"/>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06"/>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06"/>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06"/>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06"/>
        </w:numPr>
        <w:pStyle w:val="Compact"/>
      </w:pPr>
      <w:r>
        <w:rPr>
          <w:bCs/>
          <w:b/>
        </w:rPr>
        <w:t xml:space="preserve">Connectors attach per scheduled task</w:t>
      </w:r>
      <w:r>
        <w:t xml:space="preserve">; both tasks have M365 and Box.</w:t>
      </w:r>
    </w:p>
    <w:p>
      <w:pPr>
        <w:numPr>
          <w:ilvl w:val="0"/>
          <w:numId w:val="1006"/>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06"/>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06"/>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06"/>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06"/>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06"/>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06"/>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06"/>
        </w:numPr>
        <w:pStyle w:val="Compact"/>
      </w:pPr>
      <w:r>
        <w:rPr>
          <w:bCs/>
          <w:b/>
        </w:rPr>
        <w:t xml:space="preserve">Subagent budgets overran on 6 of 8 attempts</w:t>
      </w:r>
      <w:r>
        <w:t xml:space="preserve"> </w:t>
      </w:r>
      <w:r>
        <w:t xml:space="preserve">— scope narrowly, set hard call budgets.</w:t>
      </w:r>
    </w:p>
    <w:p>
      <w:pPr>
        <w:numPr>
          <w:ilvl w:val="0"/>
          <w:numId w:val="1006"/>
        </w:numPr>
        <w:pStyle w:val="Compact"/>
      </w:pPr>
      <w:r>
        <w:rPr>
          <w:bCs/>
          <w:b/>
        </w:rPr>
        <w:t xml:space="preserve">Dedupe on specific document URL</w:t>
      </w:r>
      <w:r>
        <w:t xml:space="preserve">, not docket number; a shared search-landing URL is not a duplicate signal.</w:t>
      </w:r>
    </w:p>
    <w:p>
      <w:pPr>
        <w:numPr>
          <w:ilvl w:val="0"/>
          <w:numId w:val="1006"/>
        </w:numPr>
        <w:pStyle w:val="Compact"/>
      </w:pPr>
      <w:r>
        <w:rPr>
          <w:bCs/>
          <w:b/>
        </w:rPr>
        <w:t xml:space="preserve">Check arithmetic between a stated level and a stated change</w:t>
      </w:r>
      <w:r>
        <w:t xml:space="preserve"> </w:t>
      </w:r>
      <w:r>
        <w:t xml:space="preserve">(the Duke +2.7/+3.1 error).</w:t>
      </w:r>
    </w:p>
    <w:p>
      <w:pPr>
        <w:numPr>
          <w:ilvl w:val="0"/>
          <w:numId w:val="1006"/>
        </w:numPr>
        <w:pStyle w:val="Compact"/>
      </w:pPr>
      <w:r>
        <w:rPr>
          <w:bCs/>
          <w:b/>
        </w:rPr>
        <w:t xml:space="preserve">Binary files can’t round-trip through the Graph text/base64 path</w:t>
      </w:r>
      <w:r>
        <w:t xml:space="preserve">; build the workbook in the browser.</w:t>
      </w:r>
    </w:p>
    <w:p>
      <w:pPr>
        <w:numPr>
          <w:ilvl w:val="0"/>
          <w:numId w:val="1006"/>
        </w:numPr>
        <w:pStyle w:val="Compact"/>
      </w:pPr>
      <w:r>
        <w:rPr>
          <w:bCs/>
          <w:b/>
        </w:rPr>
        <w:t xml:space="preserve">LibreOffice recalc times out on styled workbooks</w:t>
      </w:r>
      <w:r>
        <w:t xml:space="preserve"> </w:t>
      </w:r>
      <w:r>
        <w:t xml:space="preserve">— verify formulas on a stripped copy.</w:t>
      </w:r>
    </w:p>
    <w:p>
      <w:pPr>
        <w:numPr>
          <w:ilvl w:val="0"/>
          <w:numId w:val="1006"/>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06"/>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06"/>
        </w:numPr>
        <w:pStyle w:val="Compact"/>
      </w:pPr>
      <w:r>
        <w:rPr>
          <w:bCs/>
          <w:b/>
        </w:rPr>
        <w:t xml:space="preserve">Check the console loads after every publish</w:t>
      </w:r>
      <w:r>
        <w:t xml:space="preserve"> </w:t>
      </w:r>
      <w:r>
        <w:t xml:space="preserve">(a syntax error once stopped it rendering).</w:t>
      </w:r>
    </w:p>
    <w:p>
      <w:pPr>
        <w:numPr>
          <w:ilvl w:val="0"/>
          <w:numId w:val="1006"/>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06"/>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06"/>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06"/>
        </w:numPr>
        <w:pStyle w:val="Compact"/>
      </w:pPr>
      <w:r>
        <w:rPr>
          <w:bCs/>
          <w:b/>
        </w:rPr>
        <w:t xml:space="preserve">“</w:t>
      </w:r>
      <w:r>
        <w:rPr>
          <w:bCs/>
          <w:b/>
        </w:rPr>
        <w:t xml:space="preserve">Working</w:t>
      </w:r>
      <w:r>
        <w:rPr>
          <w:bCs/>
          <w:b/>
        </w:rPr>
        <w:t xml:space="preserve">”</w:t>
      </w:r>
      <w:r>
        <w:rPr>
          <w:bCs/>
          <w:b/>
        </w:rPr>
        <w:t xml:space="preserve"> </w:t>
      </w:r>
      <w:r>
        <w:rPr>
          <w:bCs/>
          <w:b/>
        </w:rPr>
        <w:t xml:space="preserve">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06"/>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06"/>
        </w:numPr>
        <w:pStyle w:val="Compact"/>
      </w:pPr>
      <w:r>
        <w:rPr>
          <w:bCs/>
          <w:b/>
        </w:rPr>
        <w:t xml:space="preserve">The manual pass depends on Rett being present.</w:t>
      </w:r>
      <w:r>
        <w:t xml:space="preserve"> </w:t>
      </w:r>
      <w:r>
        <w:t xml:space="preserve">The Friday task asks first and never browses unattended.</w:t>
      </w:r>
    </w:p>
    <w:p>
      <w:r>
        <w:pict>
          <v:rect style="width:0;height:1.5pt" o:hralign="center" o:hrstd="t" o:hr="t"/>
        </w:pict>
      </w:r>
    </w:p>
    <w:bookmarkEnd w:id="45"/>
    <w:bookmarkStart w:id="46" w:name="change-log"/>
    <w:p>
      <w:pPr>
        <w:pStyle w:val="Heading2"/>
      </w:pPr>
      <w:r>
        <w:t xml:space="preserve">20. Change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2026-10-04T22:55:10Z</dcterms:created>
  <dcterms:modified xsi:type="dcterms:W3CDTF">2026-10-04T22:55:10Z</dcterms:modified>
</cp:coreProperties>
</file>

<file path=docProps/custom.xml><?xml version="1.0" encoding="utf-8"?>
<Properties xmlns="http://schemas.openxmlformats.org/officeDocument/2006/custom-properties" xmlns:vt="http://schemas.openxmlformats.org/officeDocument/2006/docPropsVTypes"/>
</file>