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может: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Ресторан (Restaurant)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Get all - получить все рестораны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Get restaurant by Id - получить ресторан по 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Get restaurant by name - получить ресторан по имени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Корзина (Basket)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Post - создать корзину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Get  by id - получить корзину по 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Patch by id - изменить корзину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Post by id - оплатить корзину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Заказ (Order)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Get all - получить все заказы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Get by Id получить заказ по id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Delete by id отменить заказ (если заказ не статусе in_progress)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Отзывы (Review)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Get all -   получить все отзывы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Get by Id - получить отзыв по 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Patch by id - оставить комментарий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Delete by id - удалить отзыв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Корзина может: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Ресторан: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Get menu by id - проверить если меню есть в списке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Post Оплата - создать оплату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Оплата может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Post Order - создать заказ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Заказ может: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Post Delivery - создать доставку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Post Review - создать ревью 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Доставка может: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Post Courier - назначить курьера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Курьер может: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Patch Delivery - Курьер может изменить статус доставки на Доставленно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Patch Delivery - Курьер может взять блюдо и изменить статус на Picked Up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Ресторан может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Patch Delivery - Что Items выданы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90" w:left="9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