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1F3B5C"/>
          <w:sz w:val="56"/>
          <w:szCs w:val="56"/>
        </w:rPr>
        <w:t xml:space="preserve">Healthcare Career Strategy</w:t>
      </w:r>
    </w:p>
    <w:p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 xml:space="preserve">&amp; Project Specifications</w:t>
      </w:r>
    </w:p>
    <w:p>
      <w:pPr>
        <w:spacing w:before="600"/>
        <w:jc w:val="center"/>
      </w:pPr>
      <w:r>
        <w:rPr>
          <w:i/>
          <w:iCs/>
          <w:color w:val="595959"/>
          <w:sz w:val="26"/>
          <w:szCs w:val="26"/>
        </w:rPr>
        <w:t xml:space="preserve">A 90-Day Plan, Plus Full BRD / FRD / SOP Documentation</w:t>
      </w:r>
    </w:p>
    <w:p>
      <w:pPr>
        <w:spacing w:after="200"/>
        <w:jc w:val="center"/>
      </w:pPr>
      <w:r>
        <w:rPr>
          <w:i/>
          <w:iCs/>
          <w:color w:val="595959"/>
          <w:sz w:val="26"/>
          <w:szCs w:val="26"/>
        </w:rPr>
        <w:t xml:space="preserve">for Two Healthcare Technology MVPs</w:t>
      </w:r>
    </w:p>
    <w:p>
      <w:pPr>
        <w:spacing w:before="1600"/>
        <w:jc w:val="center"/>
      </w:pPr>
      <w:r>
        <w:rPr>
          <w:color w:val="595959"/>
          <w:sz w:val="22"/>
          <w:szCs w:val="22"/>
        </w:rPr>
        <w:t xml:space="preserve">Prepared for: BSc (Bioinformatics) Graduate — Healthcare &amp; Healthcare-Adjacent Product/BA Career Track</w:t>
      </w:r>
    </w:p>
    <w:p>
      <w:pPr>
        <w:spacing w:before="200"/>
        <w:jc w:val="center"/>
      </w:pPr>
      <w:r>
        <w:rPr>
          <w:color w:val="595959"/>
          <w:sz w:val="22"/>
          <w:szCs w:val="22"/>
        </w:rPr>
        <w:t xml:space="preserve">June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tabs>
          <w:tab w:val="right" w:pos="9026" w:leader="dot"/>
        </w:tabs>
        <w:spacing w:after="100"/>
      </w:pPr>
      <w:hyperlink w:history="1" w:anchor="part1">
        <w:r>
          <w:rPr>
            <w:rStyle w:val="Hyperlink"/>
          </w:rPr>
          <w:t xml:space="preserve">Part 1 — Career Strategy Brief</w:t>
        </w:r>
      </w:hyperlink>
    </w:p>
    <w:p>
      <w:pPr>
        <w:tabs>
          <w:tab w:val="right" w:pos="9026" w:leader="dot"/>
        </w:tabs>
        <w:spacing w:after="100"/>
      </w:pPr>
      <w:hyperlink w:history="1" w:anchor="part2">
        <w:r>
          <w:rPr>
            <w:rStyle w:val="Hyperlink"/>
          </w:rPr>
          <w:t xml:space="preserve">Part 2 — Project 1: Healthcare Compliance &amp; Audit Automation Engine</w:t>
        </w:r>
      </w:hyperlink>
    </w:p>
    <w:p>
      <w:pPr>
        <w:tabs>
          <w:tab w:val="right" w:pos="9026" w:leader="dot"/>
        </w:tabs>
        <w:spacing w:after="100"/>
      </w:pPr>
      <w:hyperlink w:history="1" w:anchor="part3">
        <w:r>
          <w:rPr>
            <w:rStyle w:val="Hyperlink"/>
          </w:rPr>
          <w:t xml:space="preserve">Part 3 — Project 2: Drug Interaction &amp; Polypharmacy Risk Checker</w:t>
        </w:r>
      </w:hyperlink>
    </w:p>
    <w:p>
      <w:pPr>
        <w:tabs>
          <w:tab w:val="right" w:pos="9026" w:leader="dot"/>
        </w:tabs>
        <w:spacing w:after="100"/>
      </w:pPr>
      <w:hyperlink w:history="1" w:anchor="part4">
        <w:r>
          <w:rPr>
            <w:rStyle w:val="Hyperlink"/>
          </w:rPr>
          <w:t xml:space="preserve">Part 4 — Appendix</w:t>
        </w:r>
      </w:hyperlink>
    </w:p>
    <w:p>
      <w:r>
        <w:br w:type="page"/>
      </w:r>
    </w:p>
    <w:p>
      <w:pPr>
        <w:pStyle w:val="Heading1"/>
      </w:pPr>
      <w:bookmarkStart w:name="part1" w:id="1000"/>
      <w:r>
        <w:t xml:space="preserve">Part 1 — Career Strategy Brief</w:t>
      </w:r>
      <w:bookmarkEnd w:id="1000"/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Healthcare market analysis, career-track decision, and 90-day action plan for a BSc (Bioinformatics) graduate who does not want a bioinformatics-titled role.</w:t>
      </w:r>
    </w:p>
    <w:p>
      <w:pPr>
        <w:pBdr>
          <w:bottom w:val="single" w:color="2E75B6" w:sz="6" w:space="1"/>
        </w:pBdr>
        <w:spacing w:after="200" w:before="100"/>
      </w:pPr>
      <w:r>
        <w:t xml:space="preserve"/>
      </w:r>
    </w:p>
    <w:p>
      <w:pPr>
        <w:pStyle w:val="Heading2"/>
      </w:pPr>
      <w:r>
        <w:t xml:space="preserve">1.1 Executive Verdict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Healthcare is worth entering — but not through one door. Two tracks are genuinely viable for your profile, and they don’t conflict; you can run both in parallel.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Track A — Healthcare Operations: </w:t>
      </w:r>
      <w:r>
        <w:t xml:space="preserve">clinical research / pharmacovigilance. Fastest, most fresher-friendly entry into the healthcare industry itself.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Track B — Healthcare-Adjacent Product / Business Analyst: </w:t>
      </w:r>
      <w:r>
        <w:t xml:space="preserve">lower competition than generic tech-PM roles, and a better match for someone who understands products and communicates well rather than someone who wants to write production code all day.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two projects documented in Parts 2 and 3 of this file — each with a full BRD, FRD, and SOP — are built to support both tracks at once: they prove healthcare-domain fluency for Track A interviews, and they prove requirements-writing / product-thinking ability for Track B interviews.</w:t>
      </w:r>
    </w:p>
    <w:p>
      <w:pPr>
        <w:pStyle w:val="Heading2"/>
      </w:pPr>
      <w:r>
        <w:t xml:space="preserve">1.2 Track A — Healthcare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Target roles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Clinical Research Coordinator (CRC) → Clinical Research Associate (CRA); Pharmacovigilance Associate → Drug Safety Associate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Target employers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IQVIA, Parexel, ICON plc, Syneos Health, Indegene — Bangalore, Hyderabad, Chennai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ICH-GCP (free/low-cost, self-paced, ~1 week) — complete within 90 days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Realistic odds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Moderate-to-high; this is the higher-volume, faster-to-land track for a life-sciences BSc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Competition level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Lower on-site / hybrid CRC roles; higher on 100%-remote medical-writing roles — apply to the former first</w:t>
            </w:r>
          </w:p>
        </w:tc>
      </w:tr>
    </w:tbl>
    <w:p>
      <w:pPr>
        <w:pStyle w:val="Heading2"/>
      </w:pPr>
      <w:r>
        <w:t xml:space="preserve">1.3 Track B — Healthcare-Adjacent Product / Business Analyst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advice you were given is directionally sound: Product Analyst, Associate PM, Developer Relations / Technical Content, Growth or Product Operations, and Implementation/Onboarding Specialist roles weight communication and user-understanding over deep coding ability, and a real fresher market exists for these titles in India — 642 live “Healthcare Business Analyst” postings and a growing number of health-tech Associate PM openings were live on major job boards as of this writing.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Where you have an edge over a generic CS-grad or MBA candidate chasing the same listings: you can speak both “clinical workflow” and “product requirements” fluently. Indian health-tech companies are explicitly building hybrid roles that blend clinical/domain knowledge with digital product skills — that hybrid is a much rarer combination than either skill alone.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Target roles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Business Analyst (Healthcare), Associate Product Manager (health-tech), Implementation / Onboarding Specialist (B2B health-tech SaaS), Technical Content / DevRel (health-tech documentation)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Target employers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Practo, Tata 1mg, MediBuddy, mfine, CitiusTech, Optum, Indegene, Innovaccer, HealthifyMe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Certification gate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None required — your portfolio is the credential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Portfolio evidence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PrivacyPolGen + the two projects in this document, each with a complete BRD, FRD, and SOP — not just a GitHub repo</w:t>
            </w:r>
          </w:p>
        </w:tc>
      </w:tr>
    </w:tbl>
    <w:p>
      <w:pPr>
        <w:pStyle w:val="Heading2"/>
      </w:pPr>
      <w:r>
        <w:t xml:space="preserve">1.4 Why the BRD / FRD / SOP Exercise Matters More Than the Code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Most fresher portfolios are a GitHub link and a README. A repo with a working Business Requirements Document, Functional Requirements Document, and Standard Operating Procedure attached is something a hiring manager for a Business Analyst or Associate PM role almost never sees from a fresher — it is a live sample of the exact deliverable they would ask you to produce in your first month on the job.</w:t>
      </w:r>
    </w:p>
    <w:p>
      <w:pPr>
        <w:shd w:fill="FFF2CC" w:val="clear"/>
        <w:spacing w:after="200" w:before="100"/>
      </w:pPr>
      <w:r>
        <w:rPr>
          <w:i/>
          <w:iCs/>
          <w:sz w:val="21"/>
          <w:szCs w:val="21"/>
        </w:rPr>
        <w:t xml:space="preserve">  ⚠ In interviews for Track B roles, lead with these documents, not the code. Walk the interviewer through how a Business Requirement traces to a Functional Requirement traces to an operating procedure — that traceability is the actual skill being evaluated.  </w:t>
      </w:r>
    </w:p>
    <w:p>
      <w:pPr>
        <w:pStyle w:val="Heading2"/>
      </w:pPr>
      <w:r>
        <w:t xml:space="preserve">1.5 90-Day Action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7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1–2</w:t>
            </w:r>
          </w:p>
        </w:tc>
        <w:tc>
          <w:tcPr>
            <w:tcW w:type="dxa" w:w="7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Build Project 1 (Compliance Engine) with your collaborator; finalize its BRD / FRD / SOP using Part 2 of this document as the baseline.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Build Project 2 (DDI Scanner); finalize its BRD / FRD / SOP using Part 3 of this document as the baseline.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Start ICH-GCP certification (Track A) in parallel with project polishing.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5–6</w:t>
            </w:r>
          </w:p>
        </w:tc>
        <w:tc>
          <w:tcPr>
            <w:tcW w:type="dxa" w:w="7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Apply Track A: CRC / PV roles at IQVIA, Parexel, ICON, Indegene. Apply Track B: Business Analyst / Associate PM roles at Practo, 1mg, CitiusTech, Optum, Indegene — leading with PrivacyPolGen and these two projects.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7–8</w:t>
            </w:r>
          </w:p>
        </w:tc>
        <w:tc>
          <w:tcPr>
            <w:tcW w:type="dxa" w:w="7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Interview prep: rehearse narrating the BRD → FRD → SOP traceability out loud for both projects; this is the core BA/PM interview skill.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9–12</w:t>
            </w:r>
          </w:p>
        </w:tc>
        <w:tc>
          <w:tcPr>
            <w:tcW w:type="dxa" w:w="7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Convert whichever track responds first into an offer; keep the other track warm in parallel.</w:t>
            </w:r>
          </w:p>
        </w:tc>
      </w:tr>
    </w:tbl>
    <w:p>
      <w:pPr>
        <w:pStyle w:val="Heading2"/>
      </w:pPr>
      <w:r>
        <w:t xml:space="preserve">1.6 Sources Referenced in This Brief</w:t>
      </w:r>
    </w:p>
    <w:p>
      <w:pPr>
        <w:spacing w:after="80"/>
      </w:pPr>
      <w:r>
        <w:t xml:space="preserve">WHO health workforce shortage (11.1M by 2030, revised from 10.2M) — </w:t>
      </w:r>
      <w:hyperlink w:history="1" r:id="rIdxklgixh3redrpblu912oj">
        <w:r>
          <w:rPr>
            <w:rStyle w:val="Hyperlink"/>
          </w:rPr>
          <w:t xml:space="preserve">https://www.who.int/health-topics/health-workforce</w:t>
        </w:r>
      </w:hyperlink>
    </w:p>
    <w:p>
      <w:pPr>
        <w:spacing w:after="80"/>
      </w:pPr>
      <w:r>
        <w:t xml:space="preserve">India healthcare market size ($372B 2023 → $638B by 2025, IBEF) — </w:t>
      </w:r>
      <w:hyperlink w:history="1" r:id="rId4umn2uoln2wqpew2uikbu">
        <w:r>
          <w:rPr>
            <w:rStyle w:val="Hyperlink"/>
          </w:rPr>
          <w:t xml:space="preserve">https://www.ibef.org/industry/healthcare-india</w:t>
        </w:r>
      </w:hyperlink>
    </w:p>
    <w:p>
      <w:pPr>
        <w:spacing w:after="80"/>
      </w:pPr>
      <w:r>
        <w:t xml:space="preserve">AI-Resistant Careers Index 2026 (nurse anesthetists #1) — </w:t>
      </w:r>
      <w:hyperlink w:history="1" r:id="rIdfqxo44ukt4dcxzebcauky">
        <w:r>
          <w:rPr>
            <w:rStyle w:val="Hyperlink"/>
          </w:rPr>
          <w:t xml:space="preserve">https://www.resume-now.com/job-resources/careers/ai-resistant-careers-index</w:t>
        </w:r>
      </w:hyperlink>
    </w:p>
    <w:p>
      <w:pPr>
        <w:spacing w:after="80"/>
      </w:pPr>
      <w:r>
        <w:t xml:space="preserve">Healthcare Business Analyst fresher demand, India — </w:t>
      </w:r>
      <w:hyperlink w:history="1" r:id="rId4fzjyy4npjqkxv3rcmnhr">
        <w:r>
          <w:rPr>
            <w:rStyle w:val="Hyperlink"/>
          </w:rPr>
          <w:t xml:space="preserve">https://in.linkedin.com/jobs/healthcare-business-analyst-jobs</w:t>
        </w:r>
      </w:hyperlink>
    </w:p>
    <w:p>
      <w:pPr>
        <w:spacing w:after="80"/>
      </w:pPr>
      <w:r>
        <w:t xml:space="preserve">Sectors hiring freshers 2026 — healthcare &amp; health-tech hybrid roles — </w:t>
      </w:r>
      <w:hyperlink w:history="1" r:id="rId3nyhzt7xjyk6-5oqsx6gb">
        <w:r>
          <w:rPr>
            <w:rStyle w:val="Hyperlink"/>
          </w:rPr>
          <w:t xml:space="preserve">https://www.naukri.com/campus/career-guidance/sectors-hiring-freshers-in-india</w:t>
        </w:r>
      </w:hyperlink>
    </w:p>
    <w:p>
      <w:pPr>
        <w:spacing w:after="80"/>
      </w:pPr>
      <w:r>
        <w:t xml:space="preserve">NABH — official accreditation body — </w:t>
      </w:r>
      <w:hyperlink w:history="1" r:id="rIdix7z3sid2oc-0qhrjijw7">
        <w:r>
          <w:rPr>
            <w:rStyle w:val="Hyperlink"/>
          </w:rPr>
          <w:t xml:space="preserve">https://nabh.co/</w:t>
        </w:r>
      </w:hyperlink>
    </w:p>
    <w:p>
      <w:r>
        <w:br w:type="page"/>
      </w:r>
    </w:p>
    <w:p>
      <w:pPr>
        <w:pStyle w:val="Heading1"/>
      </w:pPr>
      <w:bookmarkStart w:name="part2" w:id="1001"/>
      <w:r>
        <w:t xml:space="preserve">Part 2 — Project 1: Healthcare Compliance &amp; Audit Automation Engine (“ComplyScan”)</w:t>
      </w:r>
      <w:bookmarkEnd w:id="1001"/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 screening tool that checks hospital documentation against NABH accreditation checklist items and produces a pre-audit gap report.</w:t>
      </w:r>
    </w:p>
    <w:p>
      <w:pPr>
        <w:pBdr>
          <w:bottom w:val="single" w:color="2E75B6" w:sz="6" w:space="1"/>
        </w:pBdr>
        <w:spacing w:after="200" w:before="100"/>
      </w:pPr>
      <w:r>
        <w:t xml:space="preserve"/>
      </w:r>
    </w:p>
    <w:p>
      <w:pPr>
        <w:pStyle w:val="Heading2"/>
      </w:pPr>
      <w:r>
        <w:t xml:space="preserve">2.1 Business Requirements Document (BRD)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ComplyScan — Healthcare Compliance &amp; Audit Automation Engine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Business Requirements Document (BRD)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1.0 — Draft for MVP build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Prepared by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[Your name] &amp; [Collaborator name]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[Build start date]</w:t>
            </w:r>
          </w:p>
        </w:tc>
      </w:tr>
    </w:tbl>
    <w:p>
      <w:pPr>
        <w:pStyle w:val="Heading3"/>
      </w:pPr>
      <w:r>
        <w:t xml:space="preserve">1. Business Objective / Problem Statement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Hospitals pursuing NABH accreditation or renewal manually cross-check internal documents — HR training records, biomedical-waste disposal logs, infection-control logs, patient-consent forms — against accreditation checklists. This is largely an Excel-and-consultant-driven process. It is slow, repetitive, and error-prone, and the gap is most acute for small and mid-size hospitals that cannot afford a dedicated full-time quality team or enterprise GRC software.</w:t>
      </w:r>
    </w:p>
    <w:p>
      <w:pPr>
        <w:pStyle w:val="Heading3"/>
      </w:pPr>
      <w:r>
        <w:t xml:space="preserve">2. Business Goals &amp; Success Metrics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G1: Reduce time-to-identify documentation gaps for one chapter by 70%+ versus manual review, measured in the project demo.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G2: Produce an auditable, exportable pre-audit gap report a quality manager could realistically hand to leadership.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G3: Demonstrate domain-correct understanding of at least one real NABH chapter’s requirements — not a generic, made-up “compliance checklist.”</w:t>
      </w:r>
    </w:p>
    <w:p>
      <w:pPr>
        <w:pStyle w:val="Heading3"/>
      </w:pPr>
      <w:r>
        <w:t xml:space="preserve">3. Scope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In scope (MVP, buildable in 3–5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accreditation framework — NABH 5th Edition — limited to two chapters: Hospital Infection Control (HIC) and Patient Rights &amp; Education (PRE).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of hospital documents in PDF or text form.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extraction and matching of document content against a checklist.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Severity-tagged gap report: Compliant / Partial / Non-Compliant / Not Found.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Exportable PDF summary report.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Out of scope (explicit — mirrored in the FRD):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integration with a hospital EHR / HMIS system.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NABH 5th Edition coverage (all ~10 chapters) — explicitly descoped for the build window.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Legal certification of compliance status. Output is advisory only and is not a substitute for an official NABH assessor visit.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Multi-hospital / multi-tenant accounts — single-session demo tool for MVP.</w:t>
      </w:r>
    </w:p>
    <w:p>
      <w:pPr>
        <w:pStyle w:val="Heading3"/>
      </w:pPr>
      <w:r>
        <w:t xml:space="preserve">4.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Hospital Quality / Compliance Officer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Primary user — uploads documents, reviews and acts on flagged gaps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Hospital administrator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Secondary user — consumes the exported report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Project team (you + collaborator)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Sponsors and developers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NABH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External standard owner — not engaged; public/secondary-source standard reference only</w:t>
            </w:r>
          </w:p>
        </w:tc>
      </w:tr>
    </w:tbl>
    <w:p>
      <w:pPr>
        <w:pStyle w:val="Heading3"/>
      </w:pPr>
      <w:r>
        <w:t xml:space="preserve">5. Business Requirements</w:t>
      </w:r>
    </w:p>
    <w:p>
      <w:pPr>
        <w:spacing w:after="120"/>
      </w:pPr>
      <w:r>
        <w:rPr>
          <w:b/>
          <w:bCs/>
        </w:rPr>
        <w:t xml:space="preserve">BR-1: </w:t>
      </w:r>
      <w:r>
        <w:t xml:space="preserve">System shall allow a user to upload one or more hospital documents (PDF) tied to a selected NABH chapter.</w:t>
      </w:r>
    </w:p>
    <w:p>
      <w:pPr>
        <w:spacing w:after="120"/>
      </w:pPr>
      <w:r>
        <w:rPr>
          <w:b/>
          <w:bCs/>
        </w:rPr>
        <w:t xml:space="preserve">BR-2: </w:t>
      </w:r>
      <w:r>
        <w:t xml:space="preserve">System shall compare uploaded document content against a pre-defined checklist of required elements for that chapter.</w:t>
      </w:r>
    </w:p>
    <w:p>
      <w:pPr>
        <w:spacing w:after="120"/>
      </w:pPr>
      <w:r>
        <w:rPr>
          <w:b/>
          <w:bCs/>
        </w:rPr>
        <w:t xml:space="preserve">BR-3: </w:t>
      </w:r>
      <w:r>
        <w:t xml:space="preserve">System shall flag each checklist item as Compliant, Partial, Non-Compliant, or Not Found, with a one-line justification.</w:t>
      </w:r>
    </w:p>
    <w:p>
      <w:pPr>
        <w:spacing w:after="120"/>
      </w:pPr>
      <w:r>
        <w:rPr>
          <w:b/>
          <w:bCs/>
        </w:rPr>
        <w:t xml:space="preserve">BR-4: </w:t>
      </w:r>
      <w:r>
        <w:t xml:space="preserve">System shall generate a downloadable summary report suitable for sharing with hospital leadership.</w:t>
      </w:r>
    </w:p>
    <w:p>
      <w:pPr>
        <w:spacing w:after="120"/>
      </w:pPr>
      <w:r>
        <w:rPr>
          <w:b/>
          <w:bCs/>
        </w:rPr>
        <w:t xml:space="preserve">BR-5: </w:t>
      </w:r>
      <w:r>
        <w:t xml:space="preserve">System shall clearly disclose that its output is advisory and not an official accreditation determination.</w:t>
      </w:r>
    </w:p>
    <w:p>
      <w:pPr>
        <w:pStyle w:val="Heading3"/>
      </w:pPr>
      <w:r>
        <w:t xml:space="preserve">6. Assumptions &amp;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Documents are in English and are either digitally generated or cleanly scanned; OCR quality is assumed adequate for demo-grade source documents.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NABH’s official 5th Edition standards document is a paid publication, not freely downloadable from nabh.co. Checklist criteria for the MVP must therefore be sourced from publicly available secondary material describing NABH chapter requirements (hospital QA training resources, accreditation-consultancy summaries, government/NABH public infographics) — or from the official standard if purchased — never invented or generated from an LLM’s general impression of “what hospitals probably need to track.”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real patient-identifiable data is used in development or demos — synthetic sample documents only.</w:t>
      </w:r>
    </w:p>
    <w:p>
      <w:pPr>
        <w:pStyle w:val="Heading3"/>
      </w:pPr>
      <w:r>
        <w:t xml:space="preserve">7.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80"/>
        <w:gridCol w:w="3780"/>
      </w:tblGrid>
      <w:tr>
        <w:trPr>
          <w:tblHeader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R1 (High)</w:t>
            </w:r>
          </w:p>
        </w:tc>
        <w:tc>
          <w:tcPr>
            <w:tcW w:type="dxa" w:w="4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Checklist criteria are AI-hallucinated rather than sourced from a real NABH-derived reference — this collapses the tool’s credibility the moment anyone fact-checks it in an interview.</w:t>
            </w:r>
          </w:p>
        </w:tc>
        <w:tc>
          <w:tcPr>
            <w:tcW w:type="dxa" w:w="3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Manually source and cite the real chapter requirements (see Assumption above) before writing any matching logic. Keep the citation trail in the repo.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R2 (Medium)</w:t>
            </w:r>
          </w:p>
        </w:tc>
        <w:tc>
          <w:tcPr>
            <w:tcW w:type="dxa" w:w="4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OCR errors on scanned documents cause false negatives (real content missed and flagged as ‘Not Found’).</w:t>
            </w:r>
          </w:p>
        </w:tc>
        <w:tc>
          <w:tcPr>
            <w:tcW w:type="dxa" w:w="3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State this limitation explicitly in the SOP and on every report; require human confirmation before treating a ‘Not Found’ flag as a true gap.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R3 (Low)</w:t>
            </w:r>
          </w:p>
        </w:tc>
        <w:tc>
          <w:tcPr>
            <w:tcW w:type="dxa" w:w="4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Scope creep into building all ten NABH chapters within the 3–5 day window.</w:t>
            </w:r>
          </w:p>
        </w:tc>
        <w:tc>
          <w:tcPr>
            <w:tcW w:type="dxa" w:w="3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Hard lock to two chapters per the Scope section above.</w:t>
            </w:r>
          </w:p>
        </w:tc>
      </w:tr>
    </w:tbl>
    <w:p>
      <w:pPr>
        <w:pStyle w:val="Heading2"/>
      </w:pPr>
      <w:r>
        <w:t xml:space="preserve">2.2 Functional Requirements Document (FRD)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Translates BR-1 through BR-5 above into buildable functional and non-functional specifications. Every functional requirement below traces to a business requirement.</w:t>
      </w:r>
    </w:p>
    <w:p>
      <w:pPr>
        <w:pStyle w:val="Heading3"/>
      </w:pPr>
      <w: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500"/>
        <w:gridCol w:w="1960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 ID</w:t>
            </w:r>
          </w:p>
        </w:tc>
        <w:tc>
          <w:tcPr>
            <w:tcW w:type="dxa" w:w="5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Linked BR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FR-1.1</w:t>
            </w:r>
          </w:p>
        </w:tc>
        <w:tc>
          <w:tcPr>
            <w:tcW w:type="dxa" w:w="5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File-upload UI accepting PDF/text, max 10MB per file.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BR-1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FR-1.2</w:t>
            </w:r>
          </w:p>
        </w:tc>
        <w:tc>
          <w:tcPr>
            <w:tcW w:type="dxa" w:w="5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Extract text via OCR (Tesseract) for scanned files, or direct parsing for digital PDFs.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BR-1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FR-2.1</w:t>
            </w:r>
          </w:p>
        </w:tc>
        <w:tc>
          <w:tcPr>
            <w:tcW w:type="dxa" w:w="5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Maintain a structured checklist dataset (JSON) of required elements per chapter, manually sourced per BRD Assumption 2.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BR-2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FR-2.2</w:t>
            </w:r>
          </w:p>
        </w:tc>
        <w:tc>
          <w:tcPr>
            <w:tcW w:type="dxa" w:w="5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Run a two-pass match: rule/keyword pass first, LLM-assisted semantic match second, between extracted text and each checklist item.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BR-2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FR-3.1</w:t>
            </w:r>
          </w:p>
        </w:tc>
        <w:tc>
          <w:tcPr>
            <w:tcW w:type="dxa" w:w="5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Assign one of four status tags per checklist item with a one-sentence rationale drawn from the matched text snippet.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BR-3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FR-3.2</w:t>
            </w:r>
          </w:p>
        </w:tc>
        <w:tc>
          <w:tcPr>
            <w:tcW w:type="dxa" w:w="5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Allow the user to manually override an auto-assigned status (human-in-the-loop correction).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BR-3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FR-4.1</w:t>
            </w:r>
          </w:p>
        </w:tc>
        <w:tc>
          <w:tcPr>
            <w:tcW w:type="dxa" w:w="5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Render results in an on-screen dashboard grouped by chapter and status.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BR-4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FR-4.2</w:t>
            </w:r>
          </w:p>
        </w:tc>
        <w:tc>
          <w:tcPr>
            <w:tcW w:type="dxa" w:w="5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Export results to a formatted PDF report with a summary scorecard at the top.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BR-4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FR-5.1</w:t>
            </w:r>
          </w:p>
        </w:tc>
        <w:tc>
          <w:tcPr>
            <w:tcW w:type="dxa" w:w="5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Display a persistent disclaimer banner — ‘Advisory tool only, not a substitute for an official NABH assessment’ — on every screen and report.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BR-5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3"/>
      </w:pPr>
      <w: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6460"/>
      </w:tblGrid>
      <w:tr>
        <w:trPr>
          <w:tblHeader/>
        </w:trP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NFR-1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6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document of ≤20 pages processes and returns results in under 30 seconds in the demo.</w:t>
            </w:r>
          </w:p>
        </w:tc>
      </w:tr>
      <w:t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NFR-2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Privacy</w:t>
            </w:r>
          </w:p>
        </w:tc>
        <w:tc>
          <w:tcPr>
            <w:tcW w:type="dxa" w:w="6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 real PHI in the demo dataset; if an LLM API is used, only de-identified synthetic text is sent to it.</w:t>
            </w:r>
          </w:p>
        </w:tc>
      </w:tr>
      <w:t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NFR-3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Usability</w:t>
            </w:r>
          </w:p>
        </w:tc>
        <w:tc>
          <w:tcPr>
            <w:tcW w:type="dxa" w:w="6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non-technical quality officer completes an upload-to-report cycle in 3 clicks or fewer, with no training.</w:t>
            </w:r>
          </w:p>
        </w:tc>
      </w:tr>
      <w:t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NFR-4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Portability</w:t>
            </w:r>
          </w:p>
        </w:tc>
        <w:tc>
          <w:tcPr>
            <w:tcW w:type="dxa" w:w="6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Deployable on a free tier (Streamlit Community Cloud or Render free tier) for demo purposes.</w:t>
            </w:r>
          </w:p>
        </w:tc>
      </w:tr>
    </w:tbl>
    <w:p>
      <w:pPr>
        <w:pStyle w:val="Heading3"/>
      </w:pPr>
      <w:r>
        <w:t xml:space="preserve">User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User selects a chapter (HIC or PRE).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User uploads document(s).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System extracts 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System runs the checklist match.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Dashboard displays colour-coded results.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User reviews and, where needed, overrides flagged items.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7. User exports a PDF report.</w:t>
      </w:r>
    </w:p>
    <w:p>
      <w:pPr>
        <w:pStyle w:val="Heading3"/>
      </w:pPr>
      <w:r>
        <w:t xml:space="preserve">Data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Checklist master dataset — chapter, item ID, requirement text, source citation.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Uploaded document — transient, not persisted beyond the session for MVP.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Generated report — downloadable, not stored server-side.</w:t>
      </w:r>
    </w:p>
    <w:p>
      <w:pPr>
        <w:pStyle w:val="Heading3"/>
      </w:pPr>
      <w:r>
        <w:t xml:space="preserve">Out of Scope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Mirrors the BRD: EHR/HMIS integration, full ten-chapter coverage, multi-tenant accounts, legally binding certification of compliance status.</w:t>
      </w:r>
    </w:p>
    <w:p>
      <w:pPr>
        <w:pStyle w:val="Heading2"/>
      </w:pPr>
      <w:r>
        <w:t xml:space="preserve">2.3 Standard Operating Procedure (SOP)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SOP ID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COMPLY-SOP-01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Using ComplyScan for Monthly Pre-Audit Self-Assessment (HIC &amp; PRE Chapters)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Owner role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Hospital Quality / Compliance Officer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Applicability note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Demo / portfolio artifact — not a validated, hospital-deployed clinical SOP</w:t>
            </w:r>
          </w:p>
        </w:tc>
      </w:tr>
    </w:tbl>
    <w:p>
      <w:pPr>
        <w:pStyle w:val="Heading3"/>
      </w:pPr>
      <w:r>
        <w:t xml:space="preserve">1. Purpose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To standardize how a hospital quality team would use ComplyScan to self-assess HIC and PRE documentation ahead of an internal review or NABH audit cycle.</w:t>
      </w:r>
    </w:p>
    <w:p>
      <w:pPr>
        <w:pStyle w:val="Heading3"/>
      </w:pPr>
      <w:r>
        <w:t xml:space="preserve">2. Scope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Applies to documentation review for the Hospital Infection Control and Patient Rights &amp; Education chapters only.</w:t>
      </w:r>
    </w:p>
    <w:p>
      <w:pPr>
        <w:pStyle w:val="Heading3"/>
      </w:pPr>
      <w:r>
        <w:t xml:space="preserve">3.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Uploads documents, reviews flagged gaps, overrides false flags, distributes the report.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Department Head (IC Nurse / Patient Care Lead)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Supplies source documents; actions flagged gaps within their department.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Quality Manager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Receives the final report; tracks closure of Non-Compliant items.</w:t>
            </w:r>
          </w:p>
        </w:tc>
      </w:tr>
    </w:tbl>
    <w:p>
      <w:pPr>
        <w:pStyle w:val="Heading3"/>
      </w:pPr>
      <w:r>
        <w:t xml:space="preserve">4. Procedure</w:t>
      </w:r>
    </w:p>
    <w:p>
      <w:pPr>
        <w:spacing w:after="120"/>
      </w:pPr>
      <w:r>
        <w:rPr>
          <w:b/>
          <w:bCs/>
        </w:rPr>
        <w:t xml:space="preserve">Step 1 — </w:t>
      </w:r>
      <w:r>
        <w:t xml:space="preserve">Collect current versions of the required documents for the selected chapter (for HIC: hand-hygiene audit logs, biomedical-waste manifest, infection surveillance reports).</w:t>
      </w:r>
    </w:p>
    <w:p>
      <w:pPr>
        <w:spacing w:after="120"/>
      </w:pPr>
      <w:r>
        <w:rPr>
          <w:b/>
          <w:bCs/>
        </w:rPr>
        <w:t xml:space="preserve">Step 2 — </w:t>
      </w:r>
      <w:r>
        <w:t xml:space="preserve">Open ComplyScan and select the chapter.</w:t>
      </w:r>
    </w:p>
    <w:p>
      <w:pPr>
        <w:spacing w:after="120"/>
      </w:pPr>
      <w:r>
        <w:rPr>
          <w:b/>
          <w:bCs/>
        </w:rPr>
        <w:t xml:space="preserve">Step 3 — </w:t>
      </w:r>
      <w:r>
        <w:t xml:space="preserve">Upload documents (PDF). Wait for processing (≤30 seconds).</w:t>
      </w:r>
    </w:p>
    <w:p>
      <w:pPr>
        <w:spacing w:after="120"/>
      </w:pPr>
      <w:r>
        <w:rPr>
          <w:b/>
          <w:bCs/>
        </w:rPr>
        <w:t xml:space="preserve">Step 4 — </w:t>
      </w:r>
      <w:r>
        <w:t xml:space="preserve">Review the colour-coded dashboard. For every item flagged Non-Compliant or Not Found, manually confirm whether it is a true gap or a tool error (false negative).</w:t>
      </w:r>
    </w:p>
    <w:p>
      <w:pPr>
        <w:spacing w:after="120"/>
      </w:pPr>
      <w:r>
        <w:rPr>
          <w:b/>
          <w:bCs/>
        </w:rPr>
        <w:t xml:space="preserve">Step 5 — </w:t>
      </w:r>
      <w:r>
        <w:t xml:space="preserve">For confirmed true gaps, assign an owner and target closure date in your existing tracker — ComplyScan does not manage corrective actions in MVP scope.</w:t>
      </w:r>
    </w:p>
    <w:p>
      <w:pPr>
        <w:spacing w:after="120"/>
      </w:pPr>
      <w:r>
        <w:rPr>
          <w:b/>
          <w:bCs/>
        </w:rPr>
        <w:t xml:space="preserve">Step 6 — </w:t>
      </w:r>
      <w:r>
        <w:t xml:space="preserve">Export the PDF report and circulate it to the Quality Manager.</w:t>
      </w:r>
    </w:p>
    <w:p>
      <w:pPr>
        <w:spacing w:after="120"/>
      </w:pPr>
      <w:r>
        <w:rPr>
          <w:b/>
          <w:bCs/>
        </w:rPr>
        <w:t xml:space="preserve">Step 7 — </w:t>
      </w:r>
      <w:r>
        <w:t xml:space="preserve">Repeat monthly, and again six weeks before any scheduled NABH surveillance visit.</w:t>
      </w:r>
    </w:p>
    <w:p>
      <w:pPr>
        <w:pStyle w:val="Heading3"/>
      </w:pPr>
      <w:r>
        <w:t xml:space="preserve">5. Frequency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Monthly, and ad hoc before any scheduled or surprise audit.</w:t>
      </w:r>
    </w:p>
    <w:p>
      <w:pPr>
        <w:pStyle w:val="Heading3"/>
      </w:pPr>
      <w:r>
        <w:t xml:space="preserve">6. Records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Exported PDF reports should be retained for the current accreditation cycle as evidence of ongoing self-assessment.</w:t>
      </w:r>
    </w:p>
    <w:p>
      <w:pPr>
        <w:pStyle w:val="Heading3"/>
      </w:pPr>
      <w:r>
        <w:t xml:space="preserve">7. Limitations</w:t>
      </w:r>
    </w:p>
    <w:p>
      <w:pPr>
        <w:shd w:fill="D9E6F2" w:val="clear"/>
        <w:spacing w:after="200" w:before="100"/>
      </w:pPr>
      <w:r>
        <w:rPr>
          <w:i/>
          <w:iCs/>
          <w:color w:val="1F3B5C"/>
          <w:sz w:val="21"/>
          <w:szCs w:val="21"/>
        </w:rPr>
        <w:t xml:space="preserve">  Tool output is advisory. OCR-based extraction may miss content in poorly scanned documents — always manually verify any ‘Not Found’ flag before reporting it as a true gap. This tool does not replace an official NABH assessor.  </w:t>
      </w:r>
    </w:p>
    <w:p>
      <w:r>
        <w:br w:type="page"/>
      </w:r>
    </w:p>
    <w:p>
      <w:pPr>
        <w:pStyle w:val="Heading1"/>
      </w:pPr>
      <w:bookmarkStart w:name="part3" w:id="1002"/>
      <w:r>
        <w:t xml:space="preserve">Part 3 — Project 2: Drug Interaction &amp; Polypharmacy Risk Checker (“DDI Scanner”)</w:t>
      </w:r>
      <w:bookmarkEnd w:id="1002"/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 citation-backed screening tool that flags drug-drug interaction risk for patients on multiple concurrent medications, using open regulatory data.</w:t>
      </w:r>
    </w:p>
    <w:p>
      <w:pPr>
        <w:pBdr>
          <w:bottom w:val="single" w:color="2E75B6" w:sz="6" w:space="1"/>
        </w:pBdr>
        <w:spacing w:after="200" w:before="100"/>
      </w:pPr>
      <w:r>
        <w:t xml:space="preserve"/>
      </w:r>
    </w:p>
    <w:p>
      <w:pPr>
        <w:pStyle w:val="Heading2"/>
      </w:pPr>
      <w:r>
        <w:t xml:space="preserve">3.1 Business Requirements Document (BRD)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DDI Scanner — Drug Interaction &amp; Polypharmacy Risk Checker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Business Requirements Document (BRD)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1.0 — Draft for MVP build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Prepared by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[Your name] &amp; [Collaborator name]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[Build start date]</w:t>
            </w:r>
          </w:p>
        </w:tc>
      </w:tr>
    </w:tbl>
    <w:p>
      <w:pPr>
        <w:pStyle w:val="Heading3"/>
      </w:pPr>
      <w:r>
        <w:t xml:space="preserve">1. Business Objective / Problem Statement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Patients on multiple concurrent medications — common in elderly and chronic-disease populations — face real risk from dangerous drug-drug interactions. Enterprise-grade interaction-checking tools (Lexicomp, Micromedex) are expensive and largely inaccessible to small clinics, independent pharmacies, and individual patients in India. A lightweight, citation-backed, open-data-driven interaction checker addresses a genuine accessibility gap.</w:t>
      </w:r>
    </w:p>
    <w:p>
      <w:pPr>
        <w:pStyle w:val="Heading3"/>
      </w:pPr>
      <w:r>
        <w:t xml:space="preserve">2. Business Goals &amp; Success Metrics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G1: Correctly flag known major interactions for a test set of at least 10 common drug combinations, validated against open regulatory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G2: Present results in plain language a non-clinician patient could understand, with a clinician-detail toggle.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G3: Every flagged interaction carries a visible, clickable source citation — this is the differentiator versus a generic LLM chat answer.</w:t>
      </w:r>
    </w:p>
    <w:p>
      <w:pPr>
        <w:pStyle w:val="Heading3"/>
      </w:pPr>
      <w:r>
        <w:t xml:space="preserve">3. Scope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In scope (MVP, buildable in 3–5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text entry of a medication list (generic name or common brand name).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Pairwise interaction lookup against OpenFDA structured drug-label data, supplemented only by DrugBank’s limited open/academic dataset where its license terms allow non-commercial 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Severity classification (Major / Moderate / Minor / Unknown) taken directly from the source data’s own labelling.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Plain-language explanation plus a source citation per flagged pair.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Exportable summary report.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Out of scope (explicit — mirrored in the FRD):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OCR / prescription-image parsing — explicitly descoped; noted as a Phase 2 stretch goal in the FRD.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Dosage-specific interaction risk — MVP checks drug-pair interaction only, not dose-adjusted risk.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Replacing pharmacist or clinician judgment — the tool is a screening aid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Persistent storage of real patient records.</w:t>
      </w:r>
    </w:p>
    <w:p>
      <w:pPr>
        <w:pStyle w:val="Heading3"/>
      </w:pPr>
      <w:r>
        <w:t xml:space="preserve">4.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Pharmacist / clinic staff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Primary user — runs the screening at dispensing or medication review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 / caregiver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Secondary user — receives the plain-language view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Project team (you + collaborator)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Sponsors and developers</w:t>
            </w:r>
          </w:p>
        </w:tc>
      </w:tr>
    </w:tbl>
    <w:p>
      <w:pPr>
        <w:pStyle w:val="Heading3"/>
      </w:pPr>
      <w:r>
        <w:t xml:space="preserve">5. Business Requirements</w:t>
      </w:r>
    </w:p>
    <w:p>
      <w:pPr>
        <w:spacing w:after="120"/>
      </w:pPr>
      <w:r>
        <w:rPr>
          <w:b/>
          <w:bCs/>
        </w:rPr>
        <w:t xml:space="preserve">BR-1: </w:t>
      </w:r>
      <w:r>
        <w:t xml:space="preserve">System shall allow entry of a free-text medication list, one drug per line, generic or brand name.</w:t>
      </w:r>
    </w:p>
    <w:p>
      <w:pPr>
        <w:spacing w:after="120"/>
      </w:pPr>
      <w:r>
        <w:rPr>
          <w:b/>
          <w:bCs/>
        </w:rPr>
        <w:t xml:space="preserve">BR-2: </w:t>
      </w:r>
      <w:r>
        <w:t xml:space="preserve">System shall normalize brand names to generic equivalents before lookup.</w:t>
      </w:r>
    </w:p>
    <w:p>
      <w:pPr>
        <w:spacing w:after="120"/>
      </w:pPr>
      <w:r>
        <w:rPr>
          <w:b/>
          <w:bCs/>
        </w:rPr>
        <w:t xml:space="preserve">BR-3: </w:t>
      </w:r>
      <w:r>
        <w:t xml:space="preserve">System shall check all pairwise combinations in the list against an open interaction dataset and return severity-tagged results.</w:t>
      </w:r>
    </w:p>
    <w:p>
      <w:pPr>
        <w:spacing w:after="120"/>
      </w:pPr>
      <w:r>
        <w:rPr>
          <w:b/>
          <w:bCs/>
        </w:rPr>
        <w:t xml:space="preserve">BR-4: </w:t>
      </w:r>
      <w:r>
        <w:t xml:space="preserve">System shall present a plain-language explanation and a source citation for every flagged interaction.</w:t>
      </w:r>
    </w:p>
    <w:p>
      <w:pPr>
        <w:spacing w:after="120"/>
      </w:pPr>
      <w:r>
        <w:rPr>
          <w:b/>
          <w:bCs/>
        </w:rPr>
        <w:t xml:space="preserve">BR-5: </w:t>
      </w:r>
      <w:r>
        <w:t xml:space="preserve">System shall display a persistent disclaimer that results are a screening aid, not a clinical decision.</w:t>
      </w:r>
    </w:p>
    <w:p>
      <w:pPr>
        <w:pStyle w:val="Heading3"/>
      </w:pPr>
      <w:r>
        <w:t xml:space="preserve">6. Assumptions &amp;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Interaction ground truth comes entirely from OpenFDA’s structured drug-label data and/or DrugBank’s open dataset — never from an LLM’s own generated claim about whether two drugs interact.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Brand-name-to-generic mapping is built from a small, manually verified lookup table covering only the demo drug set — not an exhaustive India-wide brand directory.</w:t>
      </w:r>
    </w:p>
    <w:p>
      <w:pPr>
        <w:pStyle w:val="Heading3"/>
      </w:pPr>
      <w:r>
        <w:t xml:space="preserve">7.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80"/>
        <w:gridCol w:w="3780"/>
      </w:tblGrid>
      <w:tr>
        <w:trPr>
          <w:tblHeader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R1 (Critical)</w:t>
            </w:r>
          </w:p>
        </w:tc>
        <w:tc>
          <w:tcPr>
            <w:tcW w:type="dxa" w:w="4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If interaction data comes from the LLM’s own ‘knowledge’ rather than the open dataset, this is a direct medical-misinformation risk and undermines the tool’s entire purpose.</w:t>
            </w:r>
          </w:p>
        </w:tc>
        <w:tc>
          <w:tcPr>
            <w:tcW w:type="dxa" w:w="3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Every interaction shown must trace to a specific OpenFDA/DrugBank record with the source link displayed. If no record is found, show ‘no data found’ — never fabricate a plausible-sounding interaction.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R2 (Medium)</w:t>
            </w:r>
          </w:p>
        </w:tc>
        <w:tc>
          <w:tcPr>
            <w:tcW w:type="dxa" w:w="4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Brand-name mapping errors for India-specific brand names not present in Western-centric open datasets.</w:t>
            </w:r>
          </w:p>
        </w:tc>
        <w:tc>
          <w:tcPr>
            <w:tcW w:type="dxa" w:w="3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Limit the demo to drugs confirmed present in the dataset; disclose this limitation in the SOP and on-screen.</w:t>
            </w:r>
          </w:p>
        </w:tc>
      </w:tr>
    </w:tbl>
    <w:p>
      <w:pPr>
        <w:pStyle w:val="Heading2"/>
      </w:pPr>
      <w:r>
        <w:t xml:space="preserve">3.2 Functional Requirements Document (FRD)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Translates BR-1 through BR-5 above into buildable functional and non-functional specifications. Every functional requirement below traces to a business requirement.</w:t>
      </w:r>
    </w:p>
    <w:p>
      <w:pPr>
        <w:pStyle w:val="Heading3"/>
      </w:pPr>
      <w: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500"/>
        <w:gridCol w:w="1960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 ID</w:t>
            </w:r>
          </w:p>
        </w:tc>
        <w:tc>
          <w:tcPr>
            <w:tcW w:type="dxa" w:w="5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Linked BR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FR-1.1</w:t>
            </w:r>
          </w:p>
        </w:tc>
        <w:tc>
          <w:tcPr>
            <w:tcW w:type="dxa" w:w="5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Text-input field accepting a line-separated medication list.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BR-1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FR-2.1</w:t>
            </w:r>
          </w:p>
        </w:tc>
        <w:tc>
          <w:tcPr>
            <w:tcW w:type="dxa" w:w="5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Brand-to-generic normalization using a manually curated lookup table for the demo drug set.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BR-2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FR-3.1</w:t>
            </w:r>
          </w:p>
        </w:tc>
        <w:tc>
          <w:tcPr>
            <w:tcW w:type="dxa" w:w="5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Generate all unique pairwise combinations from the normalized list.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BR-3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FR-3.2</w:t>
            </w:r>
          </w:p>
        </w:tc>
        <w:tc>
          <w:tcPr>
            <w:tcW w:type="dxa" w:w="5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Query OpenFDA drug-label data (or a local DrugBank open-data extract) for each pair.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BR-3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FR-3.3</w:t>
            </w:r>
          </w:p>
        </w:tc>
        <w:tc>
          <w:tcPr>
            <w:tcW w:type="dxa" w:w="5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Classify severity per the source data’s own labelling, not an LLM-inferred severity.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BR-3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FR-4.1</w:t>
            </w:r>
          </w:p>
        </w:tc>
        <w:tc>
          <w:tcPr>
            <w:tcW w:type="dxa" w:w="5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For each flagged pair, display a plain-language summary (an LLM-assisted rewrite of the source text, never invented content) plus a clickable source citation.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BR-4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FR-4.2</w:t>
            </w:r>
          </w:p>
        </w:tc>
        <w:tc>
          <w:tcPr>
            <w:tcW w:type="dxa" w:w="5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Toggle between ‘Patient view’ (plain language) and ‘Clinician view’ (full source text).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BR-4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FR-5.1</w:t>
            </w:r>
          </w:p>
        </w:tc>
        <w:tc>
          <w:tcPr>
            <w:tcW w:type="dxa" w:w="5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Persistent disclaimer banner on every screen and export.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BR-5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3"/>
      </w:pPr>
      <w: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6460"/>
      </w:tblGrid>
      <w:tr>
        <w:trPr>
          <w:tblHeader/>
        </w:trP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NFR-1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6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Lookup and response for a list of up to 10 medications completes in under 15 seconds.</w:t>
            </w:r>
          </w:p>
        </w:tc>
      </w:tr>
      <w:t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NFR-2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Privacy</w:t>
            </w:r>
          </w:p>
        </w:tc>
        <w:tc>
          <w:tcPr>
            <w:tcW w:type="dxa" w:w="6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 PHI is stored; the medication list exists only for the active session.</w:t>
            </w:r>
          </w:p>
        </w:tc>
      </w:tr>
      <w:t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NFR-3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Trust / integrity</w:t>
            </w:r>
          </w:p>
        </w:tc>
        <w:tc>
          <w:tcPr>
            <w:tcW w:type="dxa" w:w="6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Every displayed interaction has a visible, clickable citation. If none exists, the UI shows ‘no interaction data found’ rather than nothing.</w:t>
            </w:r>
          </w:p>
        </w:tc>
      </w:tr>
      <w:t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NFR-4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Portability</w:t>
            </w:r>
          </w:p>
        </w:tc>
        <w:tc>
          <w:tcPr>
            <w:tcW w:type="dxa" w:w="6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Deployable on a free tier (Streamlit/Vercel plus a serverless function for API calls).</w:t>
            </w:r>
          </w:p>
        </w:tc>
      </w:tr>
    </w:tbl>
    <w:p>
      <w:pPr>
        <w:pStyle w:val="Heading3"/>
      </w:pPr>
      <w:r>
        <w:t xml:space="preserve">User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User enters the medication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System normalizes drug names.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System generates pairwise combinations.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System queries open interaction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Results render with severity colour-coding and citations.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User toggles between patient and clinician 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7. User exports or shares the report.</w:t>
      </w:r>
    </w:p>
    <w:p>
      <w:pPr>
        <w:pStyle w:val="Heading3"/>
      </w:pPr>
      <w:r>
        <w:t xml:space="preserve">Data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Brand-to-generic lookup table (demo scope).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or cached OpenFDA / DrugBank query results.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Session-only medication list — not persisted.</w:t>
      </w:r>
    </w:p>
    <w:p>
      <w:pPr>
        <w:pStyle w:val="Heading3"/>
      </w:pPr>
      <w:r>
        <w:t xml:space="preserve">Out of Scope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Mirrors the BRD: prescription OCR (Phase 2), dosage-adjusted risk, persistent patient records.</w:t>
      </w:r>
    </w:p>
    <w:p>
      <w:pPr>
        <w:pStyle w:val="Heading2"/>
      </w:pPr>
      <w:r>
        <w:t xml:space="preserve">3.3 Standard Operating Procedure (SOP)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SOP ID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DDI-SOP-01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Using the DDI Scanner During Pharmacy Dispensing / Clinic Medication Review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Owner role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Pharmacist / Clinic Staff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Applicability note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Demo / portfolio artifact — not a validated, clinically deployed SOP</w:t>
            </w:r>
          </w:p>
        </w:tc>
      </w:tr>
    </w:tbl>
    <w:p>
      <w:pPr>
        <w:pStyle w:val="Heading3"/>
      </w:pPr>
      <w:r>
        <w:t xml:space="preserve">1. Purpose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To standardize how pharmacy or clinic staff would use the DDI Scanner as a screening step before dispensing or renewing a multi-drug regimen.</w:t>
      </w:r>
    </w:p>
    <w:p>
      <w:pPr>
        <w:pStyle w:val="Heading3"/>
      </w:pPr>
      <w:r>
        <w:t xml:space="preserve">2. Scope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Applies to patients on three or more concurrent medications (the polypharmacy threshold) at the point of dispensing or medication review.</w:t>
      </w:r>
    </w:p>
    <w:p>
      <w:pPr>
        <w:pStyle w:val="Heading3"/>
      </w:pPr>
      <w:r>
        <w:t xml:space="preserve">3.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Pharmacist / Clinic Staff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Enters the medication list, reviews flags, decides on the clinical action.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Prescribing physician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Notified of any Major-severity flag before dispensing proceeds.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 / caregiver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Receives the plain-language summary if any flag is found.</w:t>
            </w:r>
          </w:p>
        </w:tc>
      </w:tr>
    </w:tbl>
    <w:p>
      <w:pPr>
        <w:pStyle w:val="Heading3"/>
      </w:pPr>
      <w:r>
        <w:t xml:space="preserve">4. Procedure</w:t>
      </w:r>
    </w:p>
    <w:p>
      <w:pPr>
        <w:spacing w:after="120"/>
      </w:pPr>
      <w:r>
        <w:rPr>
          <w:b/>
          <w:bCs/>
        </w:rPr>
        <w:t xml:space="preserve">Step 1 — </w:t>
      </w:r>
      <w:r>
        <w:t xml:space="preserve">At dispensing or review, compile the patient’s complete current medication list, including OTC products and supplements if known.</w:t>
      </w:r>
    </w:p>
    <w:p>
      <w:pPr>
        <w:spacing w:after="120"/>
      </w:pPr>
      <w:r>
        <w:rPr>
          <w:b/>
          <w:bCs/>
        </w:rPr>
        <w:t xml:space="preserve">Step 2 — </w:t>
      </w:r>
      <w:r>
        <w:t xml:space="preserve">Enter the list into the DDI Scanner.</w:t>
      </w:r>
    </w:p>
    <w:p>
      <w:pPr>
        <w:spacing w:after="120"/>
      </w:pPr>
      <w:r>
        <w:rPr>
          <w:b/>
          <w:bCs/>
        </w:rPr>
        <w:t xml:space="preserve">Step 3 — </w:t>
      </w:r>
      <w:r>
        <w:t xml:space="preserve">Review results. For any Major flag, pause dispensing and contact the prescribing physician before proceeding.</w:t>
      </w:r>
    </w:p>
    <w:p>
      <w:pPr>
        <w:spacing w:after="120"/>
      </w:pPr>
      <w:r>
        <w:rPr>
          <w:b/>
          <w:bCs/>
        </w:rPr>
        <w:t xml:space="preserve">Step 4 — </w:t>
      </w:r>
      <w:r>
        <w:t xml:space="preserve">For Moderate or Minor flags, document the flag and proceed per standard clinical judgment.</w:t>
      </w:r>
    </w:p>
    <w:p>
      <w:pPr>
        <w:spacing w:after="120"/>
      </w:pPr>
      <w:r>
        <w:rPr>
          <w:b/>
          <w:bCs/>
        </w:rPr>
        <w:t xml:space="preserve">Step 5 — </w:t>
      </w:r>
      <w:r>
        <w:t xml:space="preserve">Print or share the Patient View summary with the patient or caregiver.</w:t>
      </w:r>
    </w:p>
    <w:p>
      <w:pPr>
        <w:spacing w:after="120"/>
      </w:pPr>
      <w:r>
        <w:rPr>
          <w:b/>
          <w:bCs/>
        </w:rPr>
        <w:t xml:space="preserve">Step 6 — </w:t>
      </w:r>
      <w:r>
        <w:t xml:space="preserve">Log the screening event (tool run and outcome) in the pharmacy’s existing record system — the tool itself does not retain records.</w:t>
      </w:r>
    </w:p>
    <w:p>
      <w:pPr>
        <w:pStyle w:val="Heading3"/>
      </w:pPr>
      <w:r>
        <w:t xml:space="preserve">5. Frequency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Every dispensing event for patients meeting the polypharmacy threshold, and at every medication-list change.</w:t>
      </w:r>
    </w:p>
    <w:p>
      <w:pPr>
        <w:pStyle w:val="Heading3"/>
      </w:pPr>
      <w:r>
        <w:t xml:space="preserve">6. Escalation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Any Major interaction flag must be escalated to the prescribing physician before the medication is dispensed.</w:t>
      </w:r>
    </w:p>
    <w:p>
      <w:pPr>
        <w:pStyle w:val="Heading3"/>
      </w:pPr>
      <w:r>
        <w:t xml:space="preserve">7. Limitations</w:t>
      </w:r>
    </w:p>
    <w:p>
      <w:pPr>
        <w:shd w:fill="D9E6F2" w:val="clear"/>
        <w:spacing w:after="200" w:before="100"/>
      </w:pPr>
      <w:r>
        <w:rPr>
          <w:i/>
          <w:iCs/>
          <w:color w:val="1F3B5C"/>
          <w:sz w:val="21"/>
          <w:szCs w:val="21"/>
        </w:rPr>
        <w:t xml:space="preserve">  The tool only checks drugs present in its underlying open dataset — absence of a flag is not proof of safety. It does not account for patient-specific factors such as renal or hepatic function, age, or dosage. Pharmacist judgment remains the final check.  </w:t>
      </w:r>
    </w:p>
    <w:p>
      <w:r>
        <w:br w:type="page"/>
      </w:r>
    </w:p>
    <w:p>
      <w:pPr>
        <w:pStyle w:val="Heading1"/>
      </w:pPr>
      <w:bookmarkStart w:name="part4" w:id="1003"/>
      <w:r>
        <w:t xml:space="preserve">Part 4 — Appendix</w:t>
      </w:r>
      <w:bookmarkEnd w:id="1003"/>
    </w:p>
    <w:p>
      <w:pPr>
        <w:pStyle w:val="Heading2"/>
      </w:pPr>
      <w:r>
        <w:t xml:space="preserve">4.1 Resume Positioning Lines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Use these as starting drafts, not final copy — tailor to whichever role you’re applying for.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“Designed and built ComplyScan, a healthcare compliance screening MVP — authored the full BRD, FRD, and SOP and shipped a working prototype in 5 days using AI-assisted coding tools.”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“Healthcare-domain Business Analyst with hands-on delivery experience: defined business requirements, functional specifications, and operational SOPs for two healthcare technology MVPs (compliance screening and drug-interaction checking).”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“Built a citation-grounded clinical screening tool (DDI Scanner) with a documented requirement-to-operating-procedure trail — demonstrates both healthcare domain fluency and product-requirements discipline.”</w:t>
      </w:r>
    </w:p>
    <w:p>
      <w:pPr>
        <w:pStyle w:val="Heading2"/>
      </w:pPr>
      <w:r>
        <w:t xml:space="preserve">4.2 Generic 5-Day Build Timeline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Reusable for either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7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Day 1</w:t>
            </w:r>
          </w:p>
        </w:tc>
        <w:tc>
          <w:tcPr>
            <w:tcW w:type="dxa" w:w="7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Finalize the BRD and source the real reference data (NABH chapter checklist text / OpenFDA dataset). Do not let the AI coding tool invent this data — source it manually first.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Day 2</w:t>
            </w:r>
          </w:p>
        </w:tc>
        <w:tc>
          <w:tcPr>
            <w:tcW w:type="dxa" w:w="7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Build the core data pipeline and matching/lookup logic.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Day 3</w:t>
            </w:r>
          </w:p>
        </w:tc>
        <w:tc>
          <w:tcPr>
            <w:tcW w:type="dxa" w:w="7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Build the front end (Streamlit or React) and connect it to the logic layer.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Day 4</w:t>
            </w:r>
          </w:p>
        </w:tc>
        <w:tc>
          <w:tcPr>
            <w:tcW w:type="dxa" w:w="7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Write the FRD and SOP based on what was actually built — keep the documentation honest to the real build, not aspirational.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Day 5</w:t>
            </w:r>
          </w:p>
        </w:tc>
        <w:tc>
          <w:tcPr>
            <w:tcW w:type="dxa" w:w="7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Polish, record a 2-minute demo video, and push to GitHub with a README linking the BRD, FRD, and SOP.</w:t>
            </w:r>
          </w:p>
        </w:tc>
      </w:tr>
    </w:tbl>
    <w:p>
      <w:pPr>
        <w:pStyle w:val="Heading2"/>
      </w:pPr>
      <w:r>
        <w:t xml:space="preserve">4.3 Methodology Note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The market and employment figures cited in Part 1 were cross-checked against primary sources (WHO, IBEF, Resume Now’s AI-Resistant Careers Index, and live job-board listings) rather than reported from memory. Where sources disagreed — as several headline India healthcare market-size figures did across different AI-generated reports — the figure matching the primary IBEF/Statista data ($372B in 2023, projected $638B by 2025) was used. Project data-sourcing constraints (e.g., NABH’s standards being a paid publication, not a free download) are called out explicitly in the relevant BRDs rather than glossed over.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Healthcare Career Strategy &amp; Project Specifications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240" w:before="360"/>
      <w:outlineLvl w:val="0"/>
    </w:pPr>
    <w:rPr>
      <w:rFonts w:ascii="Arial" w:cs="Arial" w:eastAsia="Arial" w:hAnsi="Arial"/>
      <w:b/>
      <w:bCs/>
      <w:color w:val="1F3B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xklgixh3redrpblu912oj" Type="http://schemas.openxmlformats.org/officeDocument/2006/relationships/hyperlink" Target="https://www.who.int/health-topics/health-workforce" TargetMode="External"/><Relationship Id="rId4umn2uoln2wqpew2uikbu" Type="http://schemas.openxmlformats.org/officeDocument/2006/relationships/hyperlink" Target="https://www.ibef.org/industry/healthcare-india" TargetMode="External"/><Relationship Id="rIdfqxo44ukt4dcxzebcauky" Type="http://schemas.openxmlformats.org/officeDocument/2006/relationships/hyperlink" Target="https://www.resume-now.com/job-resources/careers/ai-resistant-careers-index" TargetMode="External"/><Relationship Id="rId4fzjyy4npjqkxv3rcmnhr" Type="http://schemas.openxmlformats.org/officeDocument/2006/relationships/hyperlink" Target="https://in.linkedin.com/jobs/healthcare-business-analyst-jobs" TargetMode="External"/><Relationship Id="rId3nyhzt7xjyk6-5oqsx6gb" Type="http://schemas.openxmlformats.org/officeDocument/2006/relationships/hyperlink" Target="https://www.naukri.com/campus/career-guidance/sectors-hiring-freshers-in-india" TargetMode="External"/><Relationship Id="rIdix7z3sid2oc-0qhrjijw7" Type="http://schemas.openxmlformats.org/officeDocument/2006/relationships/hyperlink" Target="https://nabh.co/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2026-06-29T05:34:17.784Z</dcterms:created>
  <dcterms:modified xsi:type="dcterms:W3CDTF">2026-06-29T05:34:17.784Z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