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2A44"/>
          <w:sz w:val="40"/>
          <w:szCs w:val="40"/>
        </w:rPr>
        <w:t xml:space="preserve">Customer Segmentation Project</w:t>
      </w:r>
    </w:p>
    <w:p>
      <w:pPr>
        <w:spacing w:after="400"/>
      </w:pPr>
      <w:r>
        <w:rPr>
          <w:i/>
          <w:iCs/>
          <w:color w:val="595959"/>
          <w:sz w:val="24"/>
          <w:szCs w:val="24"/>
        </w:rPr>
        <w:t xml:space="preserve">Segmenting customers based on behavior and demographics using K-Means clustering</w:t>
      </w:r>
    </w:p>
    <w:p>
      <w:pPr>
        <w:pStyle w:val="Heading1"/>
        <w:spacing w:after="200" w:before="300"/>
      </w:pPr>
      <w:r>
        <w:t xml:space="preserve">1. Objective</w:t>
      </w:r>
    </w:p>
    <w:p>
      <w:pPr>
        <w:spacing w:after="200"/>
      </w:pPr>
      <w:r>
        <w:rPr>
          <w:sz w:val="22"/>
          <w:szCs w:val="22"/>
        </w:rPr>
        <w:t xml:space="preserve">The goal of this project is to segment customers based on their behavioral and demographic characteristics in order to understand distinct customer groups, their purchasing patterns, and preferences. These insights can support targeted marketing, retention strategy, and personalized customer experiences.</w:t>
      </w:r>
    </w:p>
    <w:p>
      <w:pPr>
        <w:pStyle w:val="Heading1"/>
        <w:spacing w:after="200" w:before="300"/>
      </w:pPr>
      <w:r>
        <w:t xml:space="preserve">2. Dataset</w:t>
      </w:r>
    </w:p>
    <w:p>
      <w:pPr>
        <w:spacing w:after="200"/>
      </w:pPr>
      <w:r>
        <w:rPr>
          <w:sz w:val="22"/>
          <w:szCs w:val="22"/>
        </w:rPr>
        <w:t xml:space="preserve">A dataset of 600 customers was used, containing the following behavioral and demographic attributes:</w:t>
      </w:r>
    </w:p>
    <w:p>
      <w:pPr>
        <w:pStyle w:val="ListParagraph"/>
        <w:numPr>
          <w:ilvl w:val="0"/>
          <w:numId w:val="1"/>
        </w:numPr>
        <w:spacing w:after="100"/>
      </w:pPr>
      <w:r>
        <w:rPr>
          <w:sz w:val="22"/>
          <w:szCs w:val="22"/>
        </w:rPr>
        <w:t xml:space="preserve">Demographic: Age, Gender, Region</w:t>
      </w:r>
    </w:p>
    <w:p>
      <w:pPr>
        <w:pStyle w:val="ListParagraph"/>
        <w:numPr>
          <w:ilvl w:val="0"/>
          <w:numId w:val="1"/>
        </w:numPr>
        <w:spacing w:after="100"/>
      </w:pPr>
      <w:r>
        <w:rPr>
          <w:sz w:val="22"/>
          <w:szCs w:val="22"/>
        </w:rPr>
        <w:t xml:space="preserve">Behavioral: Purchase Frequency, Total Spend, Recency (days since last purchase), Tenure (months as customer)</w:t>
      </w:r>
    </w:p>
    <w:p>
      <w:pPr>
        <w:pStyle w:val="ListParagraph"/>
        <w:numPr>
          <w:ilvl w:val="0"/>
          <w:numId w:val="1"/>
        </w:numPr>
        <w:spacing w:after="100"/>
      </w:pPr>
      <w:r>
        <w:rPr>
          <w:sz w:val="22"/>
          <w:szCs w:val="22"/>
        </w:rPr>
        <w:t xml:space="preserve">Preferences: Preferred Shopping Channel, Preferred Product Category, Loyalty Program Membership</w:t>
      </w:r>
    </w:p>
    <w:p>
      <w:pPr>
        <w:spacing w:after="200"/>
      </w:pPr>
      <w:r>
        <w:rPr>
          <w:sz w:val="22"/>
          <w:szCs w:val="22"/>
        </w:rPr>
        <w:t xml:space="preserve">The numeric behavioral and demographic features (Age, Annual Income, Purchase Frequency, Total Spend, Recency, Tenure) were used as clustering inputs. Categorical preference fields were retained for post-hoc profiling of each segment.</w:t>
      </w:r>
    </w:p>
    <w:p>
      <w:pPr>
        <w:pStyle w:val="Heading1"/>
        <w:spacing w:after="200" w:before="300"/>
      </w:pPr>
      <w:r>
        <w:t xml:space="preserve">3. Methodology</w:t>
      </w:r>
    </w:p>
    <w:p>
      <w:pPr>
        <w:pStyle w:val="ListParagraph"/>
        <w:numPr>
          <w:ilvl w:val="0"/>
          <w:numId w:val="1"/>
        </w:numPr>
        <w:spacing w:after="100"/>
      </w:pPr>
      <w:r>
        <w:rPr>
          <w:sz w:val="22"/>
          <w:szCs w:val="22"/>
        </w:rPr>
        <w:t xml:space="preserve">Standardized all numeric features using StandardScaler so that variables with larger ranges (e.g. income, spend) did not dominate the distance calculations.</w:t>
      </w:r>
    </w:p>
    <w:p>
      <w:pPr>
        <w:pStyle w:val="ListParagraph"/>
        <w:numPr>
          <w:ilvl w:val="0"/>
          <w:numId w:val="1"/>
        </w:numPr>
        <w:spacing w:after="100"/>
      </w:pPr>
      <w:r>
        <w:rPr>
          <w:sz w:val="22"/>
          <w:szCs w:val="22"/>
        </w:rPr>
        <w:t xml:space="preserve">Applied K-Means clustering, testing K values from 2 to 8.</w:t>
      </w:r>
    </w:p>
    <w:p>
      <w:pPr>
        <w:pStyle w:val="ListParagraph"/>
        <w:numPr>
          <w:ilvl w:val="0"/>
          <w:numId w:val="1"/>
        </w:numPr>
        <w:spacing w:after="100"/>
      </w:pPr>
      <w:r>
        <w:rPr>
          <w:sz w:val="22"/>
          <w:szCs w:val="22"/>
        </w:rPr>
        <w:t xml:space="preserve">Evaluated cluster quality using the Elbow Method (inertia) and Silhouette Score to identify a well-separated, interpretable number of segments.</w:t>
      </w:r>
    </w:p>
    <w:p>
      <w:pPr>
        <w:pStyle w:val="ListParagraph"/>
        <w:numPr>
          <w:ilvl w:val="0"/>
          <w:numId w:val="1"/>
        </w:numPr>
        <w:spacing w:after="100"/>
      </w:pPr>
      <w:r>
        <w:rPr>
          <w:sz w:val="22"/>
          <w:szCs w:val="22"/>
        </w:rPr>
        <w:t xml:space="preserve">Selected K = 4, which produced coherent, business-interpretable segments with a strong silhouette score.</w:t>
      </w:r>
    </w:p>
    <w:p>
      <w:pPr>
        <w:pStyle w:val="ListParagraph"/>
        <w:numPr>
          <w:ilvl w:val="0"/>
          <w:numId w:val="1"/>
        </w:numPr>
        <w:spacing w:after="100"/>
      </w:pPr>
      <w:r>
        <w:rPr>
          <w:sz w:val="22"/>
          <w:szCs w:val="22"/>
        </w:rPr>
        <w:t xml:space="preserve">Used Principal Component Analysis (PCA) to reduce the feature space to 2 dimensions for visualization of cluster separation.</w:t>
      </w:r>
    </w:p>
    <w:p>
      <w:pPr>
        <w:spacing w:after="10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spacing w:after="300"/>
        <w:jc w:val="center"/>
      </w:pPr>
      <w:r>
        <w:rPr>
          <w:i/>
          <w:iCs/>
          <w:color w:val="595959"/>
          <w:sz w:val="18"/>
          <w:szCs w:val="18"/>
        </w:rPr>
        <w:t xml:space="preserve">Figure 1: Elbow method (inertia) and silhouette score across candidate values of K.</w:t>
      </w:r>
    </w:p>
    <w:p>
      <w:pPr>
        <w:pStyle w:val="Heading1"/>
        <w:spacing w:after="200" w:before="300"/>
      </w:pPr>
      <w:r>
        <w:t xml:space="preserve">4. Resulting Customer Segments</w:t>
      </w:r>
    </w:p>
    <w:p>
      <w:pPr>
        <w:spacing w:after="200"/>
      </w:pPr>
      <w:r>
        <w:rPr>
          <w:sz w:val="22"/>
          <w:szCs w:val="22"/>
        </w:rPr>
        <w:t xml:space="preserve">The K-Means model identified four distinct customer segments: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050"/>
            <w:shd w:fill="1F2A44" w:val="clear"/>
            <w:tcMar>
              <w:top w:type="dxa" w:w="80"/>
              <w:left w:type="dxa" w:w="80"/>
              <w:bottom w:type="dxa" w:w="80"/>
              <w:right w:type="dxa" w:w="80"/>
            </w:tcMar>
          </w:tcPr>
          <w:p>
            <w:pPr>
              <w:jc w:val="center"/>
            </w:pPr>
            <w:r>
              <w:rPr>
                <w:b/>
                <w:bCs/>
                <w:color w:val="FFFFFF"/>
                <w:sz w:val="20"/>
                <w:szCs w:val="20"/>
              </w:rPr>
              <w:t xml:space="preserve">Segment</w:t>
            </w:r>
          </w:p>
        </w:tc>
        <w:tc>
          <w:tcPr>
            <w:tcW w:type="dxa" w:w="1050"/>
            <w:shd w:fill="1F2A44" w:val="clear"/>
            <w:tcMar>
              <w:top w:type="dxa" w:w="80"/>
              <w:left w:type="dxa" w:w="80"/>
              <w:bottom w:type="dxa" w:w="80"/>
              <w:right w:type="dxa" w:w="80"/>
            </w:tcMar>
          </w:tcPr>
          <w:p>
            <w:pPr>
              <w:jc w:val="center"/>
            </w:pPr>
            <w:r>
              <w:rPr>
                <w:b/>
                <w:bCs/>
                <w:color w:val="FFFFFF"/>
                <w:sz w:val="20"/>
                <w:szCs w:val="20"/>
              </w:rPr>
              <w:t xml:space="preserve">Customers</w:t>
            </w:r>
          </w:p>
        </w:tc>
        <w:tc>
          <w:tcPr>
            <w:tcW w:type="dxa" w:w="1050"/>
            <w:shd w:fill="1F2A44" w:val="clear"/>
            <w:tcMar>
              <w:top w:type="dxa" w:w="80"/>
              <w:left w:type="dxa" w:w="80"/>
              <w:bottom w:type="dxa" w:w="80"/>
              <w:right w:type="dxa" w:w="80"/>
            </w:tcMar>
          </w:tcPr>
          <w:p>
            <w:pPr>
              <w:jc w:val="center"/>
            </w:pPr>
            <w:r>
              <w:rPr>
                <w:b/>
                <w:bCs/>
                <w:color w:val="FFFFFF"/>
                <w:sz w:val="20"/>
                <w:szCs w:val="20"/>
              </w:rPr>
              <w:t xml:space="preserve">% of Total</w:t>
            </w:r>
          </w:p>
        </w:tc>
        <w:tc>
          <w:tcPr>
            <w:tcW w:type="dxa" w:w="1050"/>
            <w:shd w:fill="1F2A44" w:val="clear"/>
            <w:tcMar>
              <w:top w:type="dxa" w:w="80"/>
              <w:left w:type="dxa" w:w="80"/>
              <w:bottom w:type="dxa" w:w="80"/>
              <w:right w:type="dxa" w:w="80"/>
            </w:tcMar>
          </w:tcPr>
          <w:p>
            <w:pPr>
              <w:jc w:val="center"/>
            </w:pPr>
            <w:r>
              <w:rPr>
                <w:b/>
                <w:bCs/>
                <w:color w:val="FFFFFF"/>
                <w:sz w:val="20"/>
                <w:szCs w:val="20"/>
              </w:rPr>
              <w:t xml:space="preserve">Avg Age</w:t>
            </w:r>
          </w:p>
        </w:tc>
        <w:tc>
          <w:tcPr>
            <w:tcW w:type="dxa" w:w="1050"/>
            <w:shd w:fill="1F2A44" w:val="clear"/>
            <w:tcMar>
              <w:top w:type="dxa" w:w="80"/>
              <w:left w:type="dxa" w:w="80"/>
              <w:bottom w:type="dxa" w:w="80"/>
              <w:right w:type="dxa" w:w="80"/>
            </w:tcMar>
          </w:tcPr>
          <w:p>
            <w:pPr>
              <w:jc w:val="center"/>
            </w:pPr>
            <w:r>
              <w:rPr>
                <w:b/>
                <w:bCs/>
                <w:color w:val="FFFFFF"/>
                <w:sz w:val="20"/>
                <w:szCs w:val="20"/>
              </w:rPr>
              <w:t xml:space="preserve">Avg Income</w:t>
            </w:r>
          </w:p>
        </w:tc>
        <w:tc>
          <w:tcPr>
            <w:tcW w:type="dxa" w:w="1050"/>
            <w:shd w:fill="1F2A44" w:val="clear"/>
            <w:tcMar>
              <w:top w:type="dxa" w:w="80"/>
              <w:left w:type="dxa" w:w="80"/>
              <w:bottom w:type="dxa" w:w="80"/>
              <w:right w:type="dxa" w:w="80"/>
            </w:tcMar>
          </w:tcPr>
          <w:p>
            <w:pPr>
              <w:jc w:val="center"/>
            </w:pPr>
            <w:r>
              <w:rPr>
                <w:b/>
                <w:bCs/>
                <w:color w:val="FFFFFF"/>
                <w:sz w:val="20"/>
                <w:szCs w:val="20"/>
              </w:rPr>
              <w:t xml:space="preserve">Avg Purchase Freq</w:t>
            </w:r>
          </w:p>
        </w:tc>
        <w:tc>
          <w:tcPr>
            <w:tcW w:type="dxa" w:w="1050"/>
            <w:shd w:fill="1F2A44" w:val="clear"/>
            <w:tcMar>
              <w:top w:type="dxa" w:w="80"/>
              <w:left w:type="dxa" w:w="80"/>
              <w:bottom w:type="dxa" w:w="80"/>
              <w:right w:type="dxa" w:w="80"/>
            </w:tcMar>
          </w:tcPr>
          <w:p>
            <w:pPr>
              <w:jc w:val="center"/>
            </w:pPr>
            <w:r>
              <w:rPr>
                <w:b/>
                <w:bCs/>
                <w:color w:val="FFFFFF"/>
                <w:sz w:val="20"/>
                <w:szCs w:val="20"/>
              </w:rPr>
              <w:t xml:space="preserve">Avg Total Spend</w:t>
            </w:r>
          </w:p>
        </w:tc>
        <w:tc>
          <w:tcPr>
            <w:tcW w:type="dxa" w:w="1050"/>
            <w:shd w:fill="1F2A44" w:val="clear"/>
            <w:tcMar>
              <w:top w:type="dxa" w:w="80"/>
              <w:left w:type="dxa" w:w="80"/>
              <w:bottom w:type="dxa" w:w="80"/>
              <w:right w:type="dxa" w:w="80"/>
            </w:tcMar>
          </w:tcPr>
          <w:p>
            <w:pPr>
              <w:jc w:val="center"/>
            </w:pPr>
            <w:r>
              <w:rPr>
                <w:b/>
                <w:bCs/>
                <w:color w:val="FFFFFF"/>
                <w:sz w:val="20"/>
                <w:szCs w:val="20"/>
              </w:rPr>
              <w:t xml:space="preserve">Avg Recency (days)</w:t>
            </w:r>
          </w:p>
        </w:tc>
        <w:tc>
          <w:tcPr>
            <w:tcW w:type="dxa" w:w="1050"/>
            <w:shd w:fill="1F2A44" w:val="clear"/>
            <w:tcMar>
              <w:top w:type="dxa" w:w="80"/>
              <w:left w:type="dxa" w:w="80"/>
              <w:bottom w:type="dxa" w:w="80"/>
              <w:right w:type="dxa" w:w="80"/>
            </w:tcMar>
          </w:tcPr>
          <w:p>
            <w:pPr>
              <w:jc w:val="center"/>
            </w:pPr>
            <w:r>
              <w:rPr>
                <w:b/>
                <w:bCs/>
                <w:color w:val="FFFFFF"/>
                <w:sz w:val="20"/>
                <w:szCs w:val="20"/>
              </w:rPr>
              <w:t xml:space="preserve">Avg Tenure (mo)</w:t>
            </w:r>
          </w:p>
        </w:tc>
      </w:tr>
      <w:tr>
        <w:tc>
          <w:tcPr>
            <w:tcW w:type="dxa" w:w="1050"/>
            <w:tcMar>
              <w:top w:type="dxa" w:w="80"/>
              <w:left w:type="dxa" w:w="80"/>
              <w:bottom w:type="dxa" w:w="80"/>
              <w:right w:type="dxa" w:w="80"/>
            </w:tcMar>
          </w:tcPr>
          <w:p>
            <w:pPr>
              <w:jc w:val="center"/>
            </w:pPr>
            <w:r>
              <w:rPr>
                <w:b w:val="false"/>
                <w:bCs w:val="false"/>
                <w:color w:val="000000"/>
                <w:sz w:val="20"/>
                <w:szCs w:val="20"/>
              </w:rPr>
              <w:t xml:space="preserve">High-Value Loyal</w:t>
            </w:r>
          </w:p>
        </w:tc>
        <w:tc>
          <w:tcPr>
            <w:tcW w:type="dxa" w:w="1050"/>
            <w:tcMar>
              <w:top w:type="dxa" w:w="80"/>
              <w:left w:type="dxa" w:w="80"/>
              <w:bottom w:type="dxa" w:w="80"/>
              <w:right w:type="dxa" w:w="80"/>
            </w:tcMar>
          </w:tcPr>
          <w:p>
            <w:pPr>
              <w:jc w:val="center"/>
            </w:pPr>
            <w:r>
              <w:rPr>
                <w:b w:val="false"/>
                <w:bCs w:val="false"/>
                <w:color w:val="000000"/>
                <w:sz w:val="20"/>
                <w:szCs w:val="20"/>
              </w:rPr>
              <w:t xml:space="preserve">143</w:t>
            </w:r>
          </w:p>
        </w:tc>
        <w:tc>
          <w:tcPr>
            <w:tcW w:type="dxa" w:w="1050"/>
            <w:tcMar>
              <w:top w:type="dxa" w:w="80"/>
              <w:left w:type="dxa" w:w="80"/>
              <w:bottom w:type="dxa" w:w="80"/>
              <w:right w:type="dxa" w:w="80"/>
            </w:tcMar>
          </w:tcPr>
          <w:p>
            <w:pPr>
              <w:jc w:val="center"/>
            </w:pPr>
            <w:r>
              <w:rPr>
                <w:b w:val="false"/>
                <w:bCs w:val="false"/>
                <w:color w:val="000000"/>
                <w:sz w:val="20"/>
                <w:szCs w:val="20"/>
              </w:rPr>
              <w:t xml:space="preserve">23.8%</w:t>
            </w:r>
          </w:p>
        </w:tc>
        <w:tc>
          <w:tcPr>
            <w:tcW w:type="dxa" w:w="1050"/>
            <w:tcMar>
              <w:top w:type="dxa" w:w="80"/>
              <w:left w:type="dxa" w:w="80"/>
              <w:bottom w:type="dxa" w:w="80"/>
              <w:right w:type="dxa" w:w="80"/>
            </w:tcMar>
          </w:tcPr>
          <w:p>
            <w:pPr>
              <w:jc w:val="center"/>
            </w:pPr>
            <w:r>
              <w:rPr>
                <w:b w:val="false"/>
                <w:bCs w:val="false"/>
                <w:color w:val="000000"/>
                <w:sz w:val="20"/>
                <w:szCs w:val="20"/>
              </w:rPr>
              <w:t xml:space="preserve">41</w:t>
            </w:r>
          </w:p>
        </w:tc>
        <w:tc>
          <w:tcPr>
            <w:tcW w:type="dxa" w:w="1050"/>
            <w:tcMar>
              <w:top w:type="dxa" w:w="80"/>
              <w:left w:type="dxa" w:w="80"/>
              <w:bottom w:type="dxa" w:w="80"/>
              <w:right w:type="dxa" w:w="80"/>
            </w:tcMar>
          </w:tcPr>
          <w:p>
            <w:pPr>
              <w:jc w:val="center"/>
            </w:pPr>
            <w:r>
              <w:rPr>
                <w:b w:val="false"/>
                <w:bCs w:val="false"/>
                <w:color w:val="000000"/>
                <w:sz w:val="20"/>
                <w:szCs w:val="20"/>
              </w:rPr>
              <w:t xml:space="preserve">$93,845</w:t>
            </w:r>
          </w:p>
        </w:tc>
        <w:tc>
          <w:tcPr>
            <w:tcW w:type="dxa" w:w="1050"/>
            <w:tcMar>
              <w:top w:type="dxa" w:w="80"/>
              <w:left w:type="dxa" w:w="80"/>
              <w:bottom w:type="dxa" w:w="80"/>
              <w:right w:type="dxa" w:w="80"/>
            </w:tcMar>
          </w:tcPr>
          <w:p>
            <w:pPr>
              <w:jc w:val="center"/>
            </w:pPr>
            <w:r>
              <w:rPr>
                <w:b w:val="false"/>
                <w:bCs w:val="false"/>
                <w:color w:val="000000"/>
                <w:sz w:val="20"/>
                <w:szCs w:val="20"/>
              </w:rPr>
              <w:t xml:space="preserve">28</w:t>
            </w:r>
          </w:p>
        </w:tc>
        <w:tc>
          <w:tcPr>
            <w:tcW w:type="dxa" w:w="1050"/>
            <w:tcMar>
              <w:top w:type="dxa" w:w="80"/>
              <w:left w:type="dxa" w:w="80"/>
              <w:bottom w:type="dxa" w:w="80"/>
              <w:right w:type="dxa" w:w="80"/>
            </w:tcMar>
          </w:tcPr>
          <w:p>
            <w:pPr>
              <w:jc w:val="center"/>
            </w:pPr>
            <w:r>
              <w:rPr>
                <w:b w:val="false"/>
                <w:bCs w:val="false"/>
                <w:color w:val="000000"/>
                <w:sz w:val="20"/>
                <w:szCs w:val="20"/>
              </w:rPr>
              <w:t xml:space="preserve">$3,981</w:t>
            </w:r>
          </w:p>
        </w:tc>
        <w:tc>
          <w:tcPr>
            <w:tcW w:type="dxa" w:w="1050"/>
            <w:tcMar>
              <w:top w:type="dxa" w:w="80"/>
              <w:left w:type="dxa" w:w="80"/>
              <w:bottom w:type="dxa" w:w="80"/>
              <w:right w:type="dxa" w:w="80"/>
            </w:tcMar>
          </w:tcPr>
          <w:p>
            <w:pPr>
              <w:jc w:val="center"/>
            </w:pPr>
            <w:r>
              <w:rPr>
                <w:b w:val="false"/>
                <w:bCs w:val="false"/>
                <w:color w:val="000000"/>
                <w:sz w:val="20"/>
                <w:szCs w:val="20"/>
              </w:rPr>
              <w:t xml:space="preserve">13 days</w:t>
            </w:r>
          </w:p>
        </w:tc>
        <w:tc>
          <w:tcPr>
            <w:tcW w:type="dxa" w:w="1050"/>
            <w:tcMar>
              <w:top w:type="dxa" w:w="80"/>
              <w:left w:type="dxa" w:w="80"/>
              <w:bottom w:type="dxa" w:w="80"/>
              <w:right w:type="dxa" w:w="80"/>
            </w:tcMar>
          </w:tcPr>
          <w:p>
            <w:pPr>
              <w:jc w:val="center"/>
            </w:pPr>
            <w:r>
              <w:rPr>
                <w:b w:val="false"/>
                <w:bCs w:val="false"/>
                <w:color w:val="000000"/>
                <w:sz w:val="20"/>
                <w:szCs w:val="20"/>
              </w:rPr>
              <w:t xml:space="preserve">47 mo</w:t>
            </w:r>
          </w:p>
        </w:tc>
      </w:tr>
      <w:tr>
        <w:tc>
          <w:tcPr>
            <w:tcW w:type="dxa" w:w="1050"/>
            <w:tcMar>
              <w:top w:type="dxa" w:w="80"/>
              <w:left w:type="dxa" w:w="80"/>
              <w:bottom w:type="dxa" w:w="80"/>
              <w:right w:type="dxa" w:w="80"/>
            </w:tcMar>
          </w:tcPr>
          <w:p>
            <w:pPr>
              <w:jc w:val="center"/>
            </w:pPr>
            <w:r>
              <w:rPr>
                <w:b w:val="false"/>
                <w:bCs w:val="false"/>
                <w:color w:val="000000"/>
                <w:sz w:val="20"/>
                <w:szCs w:val="20"/>
              </w:rPr>
              <w:t xml:space="preserve">Occasional Low-Spend</w:t>
            </w:r>
          </w:p>
        </w:tc>
        <w:tc>
          <w:tcPr>
            <w:tcW w:type="dxa" w:w="1050"/>
            <w:tcMar>
              <w:top w:type="dxa" w:w="80"/>
              <w:left w:type="dxa" w:w="80"/>
              <w:bottom w:type="dxa" w:w="80"/>
              <w:right w:type="dxa" w:w="80"/>
            </w:tcMar>
          </w:tcPr>
          <w:p>
            <w:pPr>
              <w:jc w:val="center"/>
            </w:pPr>
            <w:r>
              <w:rPr>
                <w:b w:val="false"/>
                <w:bCs w:val="false"/>
                <w:color w:val="000000"/>
                <w:sz w:val="20"/>
                <w:szCs w:val="20"/>
              </w:rPr>
              <w:t xml:space="preserve">199</w:t>
            </w:r>
          </w:p>
        </w:tc>
        <w:tc>
          <w:tcPr>
            <w:tcW w:type="dxa" w:w="1050"/>
            <w:tcMar>
              <w:top w:type="dxa" w:w="80"/>
              <w:left w:type="dxa" w:w="80"/>
              <w:bottom w:type="dxa" w:w="80"/>
              <w:right w:type="dxa" w:w="80"/>
            </w:tcMar>
          </w:tcPr>
          <w:p>
            <w:pPr>
              <w:jc w:val="center"/>
            </w:pPr>
            <w:r>
              <w:rPr>
                <w:b w:val="false"/>
                <w:bCs w:val="false"/>
                <w:color w:val="000000"/>
                <w:sz w:val="20"/>
                <w:szCs w:val="20"/>
              </w:rPr>
              <w:t xml:space="preserve">33.2%</w:t>
            </w:r>
          </w:p>
        </w:tc>
        <w:tc>
          <w:tcPr>
            <w:tcW w:type="dxa" w:w="1050"/>
            <w:tcMar>
              <w:top w:type="dxa" w:w="80"/>
              <w:left w:type="dxa" w:w="80"/>
              <w:bottom w:type="dxa" w:w="80"/>
              <w:right w:type="dxa" w:w="80"/>
            </w:tcMar>
          </w:tcPr>
          <w:p>
            <w:pPr>
              <w:jc w:val="center"/>
            </w:pPr>
            <w:r>
              <w:rPr>
                <w:b w:val="false"/>
                <w:bCs w:val="false"/>
                <w:color w:val="000000"/>
                <w:sz w:val="20"/>
                <w:szCs w:val="20"/>
              </w:rPr>
              <w:t xml:space="preserve">27</w:t>
            </w:r>
          </w:p>
        </w:tc>
        <w:tc>
          <w:tcPr>
            <w:tcW w:type="dxa" w:w="1050"/>
            <w:tcMar>
              <w:top w:type="dxa" w:w="80"/>
              <w:left w:type="dxa" w:w="80"/>
              <w:bottom w:type="dxa" w:w="80"/>
              <w:right w:type="dxa" w:w="80"/>
            </w:tcMar>
          </w:tcPr>
          <w:p>
            <w:pPr>
              <w:jc w:val="center"/>
            </w:pPr>
            <w:r>
              <w:rPr>
                <w:b w:val="false"/>
                <w:bCs w:val="false"/>
                <w:color w:val="000000"/>
                <w:sz w:val="20"/>
                <w:szCs w:val="20"/>
              </w:rPr>
              <w:t xml:space="preserve">$42,767</w:t>
            </w:r>
          </w:p>
        </w:tc>
        <w:tc>
          <w:tcPr>
            <w:tcW w:type="dxa" w:w="1050"/>
            <w:tcMar>
              <w:top w:type="dxa" w:w="80"/>
              <w:left w:type="dxa" w:w="80"/>
              <w:bottom w:type="dxa" w:w="80"/>
              <w:right w:type="dxa" w:w="80"/>
            </w:tcMar>
          </w:tcPr>
          <w:p>
            <w:pPr>
              <w:jc w:val="center"/>
            </w:pPr>
            <w:r>
              <w:rPr>
                <w:b w:val="false"/>
                <w:bCs w:val="false"/>
                <w:color w:val="000000"/>
                <w:sz w:val="20"/>
                <w:szCs w:val="20"/>
              </w:rPr>
              <w:t xml:space="preserve">7</w:t>
            </w:r>
          </w:p>
        </w:tc>
        <w:tc>
          <w:tcPr>
            <w:tcW w:type="dxa" w:w="1050"/>
            <w:tcMar>
              <w:top w:type="dxa" w:w="80"/>
              <w:left w:type="dxa" w:w="80"/>
              <w:bottom w:type="dxa" w:w="80"/>
              <w:right w:type="dxa" w:w="80"/>
            </w:tcMar>
          </w:tcPr>
          <w:p>
            <w:pPr>
              <w:jc w:val="center"/>
            </w:pPr>
            <w:r>
              <w:rPr>
                <w:b w:val="false"/>
                <w:bCs w:val="false"/>
                <w:color w:val="000000"/>
                <w:sz w:val="20"/>
                <w:szCs w:val="20"/>
              </w:rPr>
              <w:t xml:space="preserve">$430</w:t>
            </w:r>
          </w:p>
        </w:tc>
        <w:tc>
          <w:tcPr>
            <w:tcW w:type="dxa" w:w="1050"/>
            <w:tcMar>
              <w:top w:type="dxa" w:w="80"/>
              <w:left w:type="dxa" w:w="80"/>
              <w:bottom w:type="dxa" w:w="80"/>
              <w:right w:type="dxa" w:w="80"/>
            </w:tcMar>
          </w:tcPr>
          <w:p>
            <w:pPr>
              <w:jc w:val="center"/>
            </w:pPr>
            <w:r>
              <w:rPr>
                <w:b w:val="false"/>
                <w:bCs w:val="false"/>
                <w:color w:val="000000"/>
                <w:sz w:val="20"/>
                <w:szCs w:val="20"/>
              </w:rPr>
              <w:t xml:space="preserve">55 days</w:t>
            </w:r>
          </w:p>
        </w:tc>
        <w:tc>
          <w:tcPr>
            <w:tcW w:type="dxa" w:w="1050"/>
            <w:tcMar>
              <w:top w:type="dxa" w:w="80"/>
              <w:left w:type="dxa" w:w="80"/>
              <w:bottom w:type="dxa" w:w="80"/>
              <w:right w:type="dxa" w:w="80"/>
            </w:tcMar>
          </w:tcPr>
          <w:p>
            <w:pPr>
              <w:jc w:val="center"/>
            </w:pPr>
            <w:r>
              <w:rPr>
                <w:b w:val="false"/>
                <w:bCs w:val="false"/>
                <w:color w:val="000000"/>
                <w:sz w:val="20"/>
                <w:szCs w:val="20"/>
              </w:rPr>
              <w:t xml:space="preserve">12 mo</w:t>
            </w:r>
          </w:p>
        </w:tc>
      </w:tr>
      <w:tr>
        <w:tc>
          <w:tcPr>
            <w:tcW w:type="dxa" w:w="1050"/>
            <w:tcMar>
              <w:top w:type="dxa" w:w="80"/>
              <w:left w:type="dxa" w:w="80"/>
              <w:bottom w:type="dxa" w:w="80"/>
              <w:right w:type="dxa" w:w="80"/>
            </w:tcMar>
          </w:tcPr>
          <w:p>
            <w:pPr>
              <w:jc w:val="center"/>
            </w:pPr>
            <w:r>
              <w:rPr>
                <w:b w:val="false"/>
                <w:bCs w:val="false"/>
                <w:color w:val="000000"/>
                <w:sz w:val="20"/>
                <w:szCs w:val="20"/>
              </w:rPr>
              <w:t xml:space="preserve">Moderate Regular</w:t>
            </w:r>
          </w:p>
        </w:tc>
        <w:tc>
          <w:tcPr>
            <w:tcW w:type="dxa" w:w="1050"/>
            <w:tcMar>
              <w:top w:type="dxa" w:w="80"/>
              <w:left w:type="dxa" w:w="80"/>
              <w:bottom w:type="dxa" w:w="80"/>
              <w:right w:type="dxa" w:w="80"/>
            </w:tcMar>
          </w:tcPr>
          <w:p>
            <w:pPr>
              <w:jc w:val="center"/>
            </w:pPr>
            <w:r>
              <w:rPr>
                <w:b w:val="false"/>
                <w:bCs w:val="false"/>
                <w:color w:val="000000"/>
                <w:sz w:val="20"/>
                <w:szCs w:val="20"/>
              </w:rPr>
              <w:t xml:space="preserve">164</w:t>
            </w:r>
          </w:p>
        </w:tc>
        <w:tc>
          <w:tcPr>
            <w:tcW w:type="dxa" w:w="1050"/>
            <w:tcMar>
              <w:top w:type="dxa" w:w="80"/>
              <w:left w:type="dxa" w:w="80"/>
              <w:bottom w:type="dxa" w:w="80"/>
              <w:right w:type="dxa" w:w="80"/>
            </w:tcMar>
          </w:tcPr>
          <w:p>
            <w:pPr>
              <w:jc w:val="center"/>
            </w:pPr>
            <w:r>
              <w:rPr>
                <w:b w:val="false"/>
                <w:bCs w:val="false"/>
                <w:color w:val="000000"/>
                <w:sz w:val="20"/>
                <w:szCs w:val="20"/>
              </w:rPr>
              <w:t xml:space="preserve">27.3%</w:t>
            </w:r>
          </w:p>
        </w:tc>
        <w:tc>
          <w:tcPr>
            <w:tcW w:type="dxa" w:w="1050"/>
            <w:tcMar>
              <w:top w:type="dxa" w:w="80"/>
              <w:left w:type="dxa" w:w="80"/>
              <w:bottom w:type="dxa" w:w="80"/>
              <w:right w:type="dxa" w:w="80"/>
            </w:tcMar>
          </w:tcPr>
          <w:p>
            <w:pPr>
              <w:jc w:val="center"/>
            </w:pPr>
            <w:r>
              <w:rPr>
                <w:b w:val="false"/>
                <w:bCs w:val="false"/>
                <w:color w:val="000000"/>
                <w:sz w:val="20"/>
                <w:szCs w:val="20"/>
              </w:rPr>
              <w:t xml:space="preserve">50</w:t>
            </w:r>
          </w:p>
        </w:tc>
        <w:tc>
          <w:tcPr>
            <w:tcW w:type="dxa" w:w="1050"/>
            <w:tcMar>
              <w:top w:type="dxa" w:w="80"/>
              <w:left w:type="dxa" w:w="80"/>
              <w:bottom w:type="dxa" w:w="80"/>
              <w:right w:type="dxa" w:w="80"/>
            </w:tcMar>
          </w:tcPr>
          <w:p>
            <w:pPr>
              <w:jc w:val="center"/>
            </w:pPr>
            <w:r>
              <w:rPr>
                <w:b w:val="false"/>
                <w:bCs w:val="false"/>
                <w:color w:val="000000"/>
                <w:sz w:val="20"/>
                <w:szCs w:val="20"/>
              </w:rPr>
              <w:t xml:space="preserve">$60,557</w:t>
            </w:r>
          </w:p>
        </w:tc>
        <w:tc>
          <w:tcPr>
            <w:tcW w:type="dxa" w:w="1050"/>
            <w:tcMar>
              <w:top w:type="dxa" w:w="80"/>
              <w:left w:type="dxa" w:w="80"/>
              <w:bottom w:type="dxa" w:w="80"/>
              <w:right w:type="dxa" w:w="80"/>
            </w:tcMar>
          </w:tcPr>
          <w:p>
            <w:pPr>
              <w:jc w:val="center"/>
            </w:pPr>
            <w:r>
              <w:rPr>
                <w:b w:val="false"/>
                <w:bCs w:val="false"/>
                <w:color w:val="000000"/>
                <w:sz w:val="20"/>
                <w:szCs w:val="20"/>
              </w:rPr>
              <w:t xml:space="preserve">14</w:t>
            </w:r>
          </w:p>
        </w:tc>
        <w:tc>
          <w:tcPr>
            <w:tcW w:type="dxa" w:w="1050"/>
            <w:tcMar>
              <w:top w:type="dxa" w:w="80"/>
              <w:left w:type="dxa" w:w="80"/>
              <w:bottom w:type="dxa" w:w="80"/>
              <w:right w:type="dxa" w:w="80"/>
            </w:tcMar>
          </w:tcPr>
          <w:p>
            <w:pPr>
              <w:jc w:val="center"/>
            </w:pPr>
            <w:r>
              <w:rPr>
                <w:b w:val="false"/>
                <w:bCs w:val="false"/>
                <w:color w:val="000000"/>
                <w:sz w:val="20"/>
                <w:szCs w:val="20"/>
              </w:rPr>
              <w:t xml:space="preserve">$1,181</w:t>
            </w:r>
          </w:p>
        </w:tc>
        <w:tc>
          <w:tcPr>
            <w:tcW w:type="dxa" w:w="1050"/>
            <w:tcMar>
              <w:top w:type="dxa" w:w="80"/>
              <w:left w:type="dxa" w:w="80"/>
              <w:bottom w:type="dxa" w:w="80"/>
              <w:right w:type="dxa" w:w="80"/>
            </w:tcMar>
          </w:tcPr>
          <w:p>
            <w:pPr>
              <w:jc w:val="center"/>
            </w:pPr>
            <w:r>
              <w:rPr>
                <w:b w:val="false"/>
                <w:bCs w:val="false"/>
                <w:color w:val="000000"/>
                <w:sz w:val="20"/>
                <w:szCs w:val="20"/>
              </w:rPr>
              <w:t xml:space="preserve">35 days</w:t>
            </w:r>
          </w:p>
        </w:tc>
        <w:tc>
          <w:tcPr>
            <w:tcW w:type="dxa" w:w="1050"/>
            <w:tcMar>
              <w:top w:type="dxa" w:w="80"/>
              <w:left w:type="dxa" w:w="80"/>
              <w:bottom w:type="dxa" w:w="80"/>
              <w:right w:type="dxa" w:w="80"/>
            </w:tcMar>
          </w:tcPr>
          <w:p>
            <w:pPr>
              <w:jc w:val="center"/>
            </w:pPr>
            <w:r>
              <w:rPr>
                <w:b w:val="false"/>
                <w:bCs w:val="false"/>
                <w:color w:val="000000"/>
                <w:sz w:val="20"/>
                <w:szCs w:val="20"/>
              </w:rPr>
              <w:t xml:space="preserve">31 mo</w:t>
            </w:r>
          </w:p>
        </w:tc>
      </w:tr>
      <w:tr>
        <w:tc>
          <w:tcPr>
            <w:tcW w:type="dxa" w:w="1050"/>
            <w:tcMar>
              <w:top w:type="dxa" w:w="80"/>
              <w:left w:type="dxa" w:w="80"/>
              <w:bottom w:type="dxa" w:w="80"/>
              <w:right w:type="dxa" w:w="80"/>
            </w:tcMar>
          </w:tcPr>
          <w:p>
            <w:pPr>
              <w:jc w:val="center"/>
            </w:pPr>
            <w:r>
              <w:rPr>
                <w:b w:val="false"/>
                <w:bCs w:val="false"/>
                <w:color w:val="000000"/>
                <w:sz w:val="20"/>
                <w:szCs w:val="20"/>
              </w:rPr>
              <w:t xml:space="preserve">At-Risk High-Value</w:t>
            </w:r>
          </w:p>
        </w:tc>
        <w:tc>
          <w:tcPr>
            <w:tcW w:type="dxa" w:w="1050"/>
            <w:tcMar>
              <w:top w:type="dxa" w:w="80"/>
              <w:left w:type="dxa" w:w="80"/>
              <w:bottom w:type="dxa" w:w="80"/>
              <w:right w:type="dxa" w:w="80"/>
            </w:tcMar>
          </w:tcPr>
          <w:p>
            <w:pPr>
              <w:jc w:val="center"/>
            </w:pPr>
            <w:r>
              <w:rPr>
                <w:b w:val="false"/>
                <w:bCs w:val="false"/>
                <w:color w:val="000000"/>
                <w:sz w:val="20"/>
                <w:szCs w:val="20"/>
              </w:rPr>
              <w:t xml:space="preserve">94</w:t>
            </w:r>
          </w:p>
        </w:tc>
        <w:tc>
          <w:tcPr>
            <w:tcW w:type="dxa" w:w="1050"/>
            <w:tcMar>
              <w:top w:type="dxa" w:w="80"/>
              <w:left w:type="dxa" w:w="80"/>
              <w:bottom w:type="dxa" w:w="80"/>
              <w:right w:type="dxa" w:w="80"/>
            </w:tcMar>
          </w:tcPr>
          <w:p>
            <w:pPr>
              <w:jc w:val="center"/>
            </w:pPr>
            <w:r>
              <w:rPr>
                <w:b w:val="false"/>
                <w:bCs w:val="false"/>
                <w:color w:val="000000"/>
                <w:sz w:val="20"/>
                <w:szCs w:val="20"/>
              </w:rPr>
              <w:t xml:space="preserve">15.7%</w:t>
            </w:r>
          </w:p>
        </w:tc>
        <w:tc>
          <w:tcPr>
            <w:tcW w:type="dxa" w:w="1050"/>
            <w:tcMar>
              <w:top w:type="dxa" w:w="80"/>
              <w:left w:type="dxa" w:w="80"/>
              <w:bottom w:type="dxa" w:w="80"/>
              <w:right w:type="dxa" w:w="80"/>
            </w:tcMar>
          </w:tcPr>
          <w:p>
            <w:pPr>
              <w:jc w:val="center"/>
            </w:pPr>
            <w:r>
              <w:rPr>
                <w:b w:val="false"/>
                <w:bCs w:val="false"/>
                <w:color w:val="000000"/>
                <w:sz w:val="20"/>
                <w:szCs w:val="20"/>
              </w:rPr>
              <w:t xml:space="preserve">51</w:t>
            </w:r>
          </w:p>
        </w:tc>
        <w:tc>
          <w:tcPr>
            <w:tcW w:type="dxa" w:w="1050"/>
            <w:tcMar>
              <w:top w:type="dxa" w:w="80"/>
              <w:left w:type="dxa" w:w="80"/>
              <w:bottom w:type="dxa" w:w="80"/>
              <w:right w:type="dxa" w:w="80"/>
            </w:tcMar>
          </w:tcPr>
          <w:p>
            <w:pPr>
              <w:jc w:val="center"/>
            </w:pPr>
            <w:r>
              <w:rPr>
                <w:b w:val="false"/>
                <w:bCs w:val="false"/>
                <w:color w:val="000000"/>
                <w:sz w:val="20"/>
                <w:szCs w:val="20"/>
              </w:rPr>
              <w:t xml:space="preserve">$86,011</w:t>
            </w:r>
          </w:p>
        </w:tc>
        <w:tc>
          <w:tcPr>
            <w:tcW w:type="dxa" w:w="1050"/>
            <w:tcMar>
              <w:top w:type="dxa" w:w="80"/>
              <w:left w:type="dxa" w:w="80"/>
              <w:bottom w:type="dxa" w:w="80"/>
              <w:right w:type="dxa" w:w="80"/>
            </w:tcMar>
          </w:tcPr>
          <w:p>
            <w:pPr>
              <w:jc w:val="center"/>
            </w:pPr>
            <w:r>
              <w:rPr>
                <w:b w:val="false"/>
                <w:bCs w:val="false"/>
                <w:color w:val="000000"/>
                <w:sz w:val="20"/>
                <w:szCs w:val="20"/>
              </w:rPr>
              <w:t xml:space="preserve">4</w:t>
            </w:r>
          </w:p>
        </w:tc>
        <w:tc>
          <w:tcPr>
            <w:tcW w:type="dxa" w:w="1050"/>
            <w:tcMar>
              <w:top w:type="dxa" w:w="80"/>
              <w:left w:type="dxa" w:w="80"/>
              <w:bottom w:type="dxa" w:w="80"/>
              <w:right w:type="dxa" w:w="80"/>
            </w:tcMar>
          </w:tcPr>
          <w:p>
            <w:pPr>
              <w:jc w:val="center"/>
            </w:pPr>
            <w:r>
              <w:rPr>
                <w:b w:val="false"/>
                <w:bCs w:val="false"/>
                <w:color w:val="000000"/>
                <w:sz w:val="20"/>
                <w:szCs w:val="20"/>
              </w:rPr>
              <w:t xml:space="preserve">$2,577</w:t>
            </w:r>
          </w:p>
        </w:tc>
        <w:tc>
          <w:tcPr>
            <w:tcW w:type="dxa" w:w="1050"/>
            <w:tcMar>
              <w:top w:type="dxa" w:w="80"/>
              <w:left w:type="dxa" w:w="80"/>
              <w:bottom w:type="dxa" w:w="80"/>
              <w:right w:type="dxa" w:w="80"/>
            </w:tcMar>
          </w:tcPr>
          <w:p>
            <w:pPr>
              <w:jc w:val="center"/>
            </w:pPr>
            <w:r>
              <w:rPr>
                <w:b w:val="false"/>
                <w:bCs w:val="false"/>
                <w:color w:val="000000"/>
                <w:sz w:val="20"/>
                <w:szCs w:val="20"/>
              </w:rPr>
              <w:t xml:space="preserve">183 days</w:t>
            </w:r>
          </w:p>
        </w:tc>
        <w:tc>
          <w:tcPr>
            <w:tcW w:type="dxa" w:w="1050"/>
            <w:tcMar>
              <w:top w:type="dxa" w:w="80"/>
              <w:left w:type="dxa" w:w="80"/>
              <w:bottom w:type="dxa" w:w="80"/>
              <w:right w:type="dxa" w:w="80"/>
            </w:tcMar>
          </w:tcPr>
          <w:p>
            <w:pPr>
              <w:jc w:val="center"/>
            </w:pPr>
            <w:r>
              <w:rPr>
                <w:b w:val="false"/>
                <w:bCs w:val="false"/>
                <w:color w:val="000000"/>
                <w:sz w:val="20"/>
                <w:szCs w:val="20"/>
              </w:rPr>
              <w:t xml:space="preserve">60 mo</w:t>
            </w:r>
          </w:p>
        </w:tc>
      </w:tr>
    </w:tbl>
    <w:p>
      <w:pPr>
        <w:spacing w:after="300"/>
      </w:pPr>
    </w:p>
    <w:p>
      <w:pPr>
        <w:spacing w:after="100" w:before="1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429000"/>
                    </a:xfrm>
                    <a:prstGeom prst="rect">
                      <a:avLst/>
                    </a:prstGeom>
                  </pic:spPr>
                </pic:pic>
              </a:graphicData>
            </a:graphic>
          </wp:inline>
        </w:drawing>
      </w:r>
    </w:p>
    <w:p>
      <w:pPr>
        <w:spacing w:after="300"/>
        <w:jc w:val="center"/>
      </w:pPr>
      <w:r>
        <w:rPr>
          <w:i/>
          <w:iCs/>
          <w:color w:val="595959"/>
          <w:sz w:val="18"/>
          <w:szCs w:val="18"/>
        </w:rPr>
        <w:t xml:space="preserve">Figure 2: Customer segments projected onto the first two principal components, showing clear separation.</w:t>
      </w:r>
    </w:p>
    <w:p>
      <w:pPr>
        <w:spacing w:after="100" w:before="10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857500"/>
                    </a:xfrm>
                    <a:prstGeom prst="rect">
                      <a:avLst/>
                    </a:prstGeom>
                  </pic:spPr>
                </pic:pic>
              </a:graphicData>
            </a:graphic>
          </wp:inline>
        </w:drawing>
      </w:r>
    </w:p>
    <w:p>
      <w:pPr>
        <w:spacing w:after="300"/>
        <w:jc w:val="center"/>
      </w:pPr>
      <w:r>
        <w:rPr>
          <w:i/>
          <w:iCs/>
          <w:color w:val="595959"/>
          <w:sz w:val="18"/>
          <w:szCs w:val="18"/>
        </w:rPr>
        <w:t xml:space="preserve">Figure 3: Relative size of each customer segment.</w:t>
      </w:r>
    </w:p>
    <w:p>
      <w:r>
        <w:br w:type="page"/>
      </w:r>
    </w:p>
    <w:p>
      <w:pPr>
        <w:pStyle w:val="Heading1"/>
        <w:spacing w:after="200" w:before="300"/>
      </w:pPr>
      <w:r>
        <w:t xml:space="preserve">5. Segment Profiles &amp; Characteristics</w:t>
      </w:r>
    </w:p>
    <w:p>
      <w:pPr>
        <w:spacing w:after="100"/>
      </w:pPr>
      <w:r>
        <w:rPr>
          <w:b/>
          <w:bCs/>
          <w:color w:val="2E8B57"/>
          <w:sz w:val="24"/>
          <w:szCs w:val="24"/>
        </w:rPr>
        <w:t xml:space="preserve">High-Value Loyal (23.8% of customers)</w:t>
      </w:r>
    </w:p>
    <w:p>
      <w:pPr>
        <w:spacing w:after="200"/>
      </w:pPr>
      <w:r>
        <w:rPr>
          <w:sz w:val="22"/>
          <w:szCs w:val="22"/>
        </w:rPr>
        <w:t xml:space="preserve">Older, higher-income customers who purchase frequently, spend the most on average, and have been active very recently. Long average tenure indicates strong loyalty. These are the most valuable customers and prime candidates for VIP loyalty perks, early access programs, and premium upsells.</w:t>
      </w:r>
    </w:p>
    <w:p>
      <w:pPr>
        <w:spacing w:after="100"/>
      </w:pPr>
      <w:r>
        <w:rPr>
          <w:b/>
          <w:bCs/>
          <w:color w:val="D9822B"/>
          <w:sz w:val="24"/>
          <w:szCs w:val="24"/>
        </w:rPr>
        <w:t xml:space="preserve">Occasional Low-Spend (33.2% of customers)</w:t>
      </w:r>
    </w:p>
    <w:p>
      <w:pPr>
        <w:spacing w:after="200"/>
      </w:pPr>
      <w:r>
        <w:rPr>
          <w:sz w:val="22"/>
          <w:szCs w:val="22"/>
        </w:rPr>
        <w:t xml:space="preserve">The youngest and largest segment, with low income, low purchase frequency, and low total spend. Short tenure suggests many are newer or infrequent customers. This group represents growth potential — good targets for onboarding campaigns, first-purchase incentives, and awareness-building content.</w:t>
      </w:r>
    </w:p>
    <w:p>
      <w:pPr>
        <w:spacing w:after="100"/>
      </w:pPr>
      <w:r>
        <w:rPr>
          <w:b/>
          <w:bCs/>
          <w:color w:val="2F5597"/>
          <w:sz w:val="24"/>
          <w:szCs w:val="24"/>
        </w:rPr>
        <w:t xml:space="preserve">Moderate Regular (27.3% of customers)</w:t>
      </w:r>
    </w:p>
    <w:p>
      <w:pPr>
        <w:spacing w:after="200"/>
      </w:pPr>
      <w:r>
        <w:rPr>
          <w:sz w:val="22"/>
          <w:szCs w:val="22"/>
        </w:rPr>
        <w:t xml:space="preserve">Middle-aged customers with moderate income and steady, regular purchasing behavior. Average spend and recency are both mid-range. This is a stable, dependable segment well-suited to cross-sell and category-expansion campaigns.</w:t>
      </w:r>
    </w:p>
    <w:p>
      <w:pPr>
        <w:spacing w:after="100"/>
      </w:pPr>
      <w:r>
        <w:rPr>
          <w:b/>
          <w:bCs/>
          <w:color w:val="C0392B"/>
          <w:sz w:val="24"/>
          <w:szCs w:val="24"/>
        </w:rPr>
        <w:t xml:space="preserve">At-Risk High-Value (15.7% of customers)</w:t>
      </w:r>
    </w:p>
    <w:p>
      <w:pPr>
        <w:spacing w:after="200"/>
      </w:pPr>
      <w:r>
        <w:rPr>
          <w:sz w:val="22"/>
          <w:szCs w:val="22"/>
        </w:rPr>
        <w:t xml:space="preserve">Older customers with high income and historically high total spend, but very low recent purchase frequency and long recency (average 183 days since last purchase). Despite the longest average tenure, this segment shows clear signs of disengagement. This group is the highest priority for win-back and re-engagement campaigns, since they represent lost revenue that was previously strong.</w:t>
      </w:r>
    </w:p>
    <w:p>
      <w:pPr>
        <w:pStyle w:val="Heading1"/>
        <w:spacing w:after="200" w:before="300"/>
      </w:pPr>
      <w:r>
        <w:t xml:space="preserve">6. Preferred Category by Segment</w:t>
      </w:r>
    </w:p>
    <w:p>
      <w:pPr>
        <w:spacing w:after="200"/>
      </w:pPr>
      <w:r>
        <w:rPr>
          <w:sz w:val="22"/>
          <w:szCs w:val="22"/>
        </w:rPr>
        <w:t xml:space="preserve">Beyond the core clustering variables, we examined each segment's preferred product category to inform merchandising and messaging.</w:t>
      </w:r>
    </w:p>
    <w:p>
      <w:pPr>
        <w:spacing w:after="100" w:before="10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90825"/>
                    </a:xfrm>
                    <a:prstGeom prst="rect">
                      <a:avLst/>
                    </a:prstGeom>
                  </pic:spPr>
                </pic:pic>
              </a:graphicData>
            </a:graphic>
          </wp:inline>
        </w:drawing>
      </w:r>
    </w:p>
    <w:p>
      <w:pPr>
        <w:spacing w:after="300"/>
        <w:jc w:val="center"/>
      </w:pPr>
      <w:r>
        <w:rPr>
          <w:i/>
          <w:iCs/>
          <w:color w:val="595959"/>
          <w:sz w:val="18"/>
          <w:szCs w:val="18"/>
        </w:rPr>
        <w:t xml:space="preserve">Figure 4: Distribution of preferred product category within each segment.</w:t>
      </w:r>
    </w:p>
    <w:p>
      <w:pPr>
        <w:pStyle w:val="Heading1"/>
        <w:spacing w:after="200" w:before="300"/>
      </w:pPr>
      <w:r>
        <w:t xml:space="preserve">7. Business Recommendations</w:t>
      </w:r>
    </w:p>
    <w:p>
      <w:pPr>
        <w:pStyle w:val="ListParagraph"/>
        <w:numPr>
          <w:ilvl w:val="0"/>
          <w:numId w:val="1"/>
        </w:numPr>
        <w:spacing w:after="100"/>
      </w:pPr>
      <w:r>
        <w:rPr>
          <w:sz w:val="22"/>
          <w:szCs w:val="22"/>
        </w:rPr>
        <w:t xml:space="preserve">High-Value Loyal: Protect and reward this segment with loyalty tiers, exclusive previews, and referral incentives.</w:t>
      </w:r>
    </w:p>
    <w:p>
      <w:pPr>
        <w:pStyle w:val="ListParagraph"/>
        <w:numPr>
          <w:ilvl w:val="0"/>
          <w:numId w:val="1"/>
        </w:numPr>
        <w:spacing w:after="100"/>
      </w:pPr>
      <w:r>
        <w:rPr>
          <w:sz w:val="22"/>
          <w:szCs w:val="22"/>
        </w:rPr>
        <w:t xml:space="preserve">At-Risk High-Value: Launch targeted win-back campaigns (personalized offers, reactivation discounts) before they churn completely — this is the most urgent segment given their historical value.</w:t>
      </w:r>
    </w:p>
    <w:p>
      <w:pPr>
        <w:pStyle w:val="ListParagraph"/>
        <w:numPr>
          <w:ilvl w:val="0"/>
          <w:numId w:val="1"/>
        </w:numPr>
        <w:spacing w:after="100"/>
      </w:pPr>
      <w:r>
        <w:rPr>
          <w:sz w:val="22"/>
          <w:szCs w:val="22"/>
        </w:rPr>
        <w:t xml:space="preserve">Occasional Low-Spend: Focus on engagement and education (onboarding flows, starter bundles) to increase purchase frequency over time.</w:t>
      </w:r>
    </w:p>
    <w:p>
      <w:pPr>
        <w:pStyle w:val="ListParagraph"/>
        <w:numPr>
          <w:ilvl w:val="0"/>
          <w:numId w:val="1"/>
        </w:numPr>
        <w:spacing w:after="100"/>
      </w:pPr>
      <w:r>
        <w:rPr>
          <w:sz w:val="22"/>
          <w:szCs w:val="22"/>
        </w:rPr>
        <w:t xml:space="preserve">Moderate Regular: Use cross-sell and bundle promotions to increase basket size and category breadth.</w:t>
      </w:r>
    </w:p>
    <w:p>
      <w:pPr>
        <w:pStyle w:val="Heading1"/>
        <w:spacing w:after="200" w:before="300"/>
      </w:pPr>
      <w:r>
        <w:t xml:space="preserve">8. Tools &amp; Techniques Used</w:t>
      </w:r>
    </w:p>
    <w:p>
      <w:pPr>
        <w:pStyle w:val="ListParagraph"/>
        <w:numPr>
          <w:ilvl w:val="0"/>
          <w:numId w:val="1"/>
        </w:numPr>
        <w:spacing w:after="100"/>
      </w:pPr>
      <w:r>
        <w:rPr>
          <w:sz w:val="22"/>
          <w:szCs w:val="22"/>
        </w:rPr>
        <w:t xml:space="preserve">Python (pandas, NumPy) for data preparation</w:t>
      </w:r>
    </w:p>
    <w:p>
      <w:pPr>
        <w:pStyle w:val="ListParagraph"/>
        <w:numPr>
          <w:ilvl w:val="0"/>
          <w:numId w:val="1"/>
        </w:numPr>
        <w:spacing w:after="100"/>
      </w:pPr>
      <w:r>
        <w:rPr>
          <w:sz w:val="22"/>
          <w:szCs w:val="22"/>
        </w:rPr>
        <w:t xml:space="preserve">scikit-learn (StandardScaler, KMeans, PCA, silhouette_score) for clustering</w:t>
      </w:r>
    </w:p>
    <w:p>
      <w:pPr>
        <w:pStyle w:val="ListParagraph"/>
        <w:numPr>
          <w:ilvl w:val="0"/>
          <w:numId w:val="1"/>
        </w:numPr>
        <w:spacing w:after="100"/>
      </w:pPr>
      <w:r>
        <w:rPr>
          <w:sz w:val="22"/>
          <w:szCs w:val="22"/>
        </w:rPr>
        <w:t xml:space="preserve">Matplotlib for visualization</w:t>
      </w:r>
    </w:p>
    <w:p>
      <w:pPr>
        <w:pStyle w:val="Heading1"/>
        <w:spacing w:after="200" w:before="300"/>
      </w:pPr>
      <w:r>
        <w:t xml:space="preserve">9. Learning Outcomes</w:t>
      </w:r>
    </w:p>
    <w:p>
      <w:pPr>
        <w:spacing w:after="200"/>
      </w:pPr>
      <w:r>
        <w:rPr>
          <w:sz w:val="22"/>
          <w:szCs w:val="22"/>
        </w:rPr>
        <w:t xml:space="preserve">This project provided hands-on experience with the full customer analytics workflow: preparing behavioral and demographic data, selecting an appropriate number of clusters using statistical validation methods, applying unsupervised machine learning (K-Means), visualizing high-dimensional clusters with PCA, and translating clustering output into actionable, business-relevant customer segments.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5ece2f4d7b878326c39bec471ff2c9014674197.png"/><Relationship Id="rId8" Type="http://schemas.openxmlformats.org/officeDocument/2006/relationships/image" Target="media/9828f5971816da11af093c4c9009fe91e21093cb.png"/><Relationship Id="rId9" Type="http://schemas.openxmlformats.org/officeDocument/2006/relationships/image" Target="media/2c7dd6924dd24472105a5e257ab9cfd4049c5df1.png"/><Relationship Id="rId10" Type="http://schemas.openxmlformats.org/officeDocument/2006/relationships/image" Target="media/4b72ba117a84ab51b3dfe656b7d883e867c437f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2026-07-05T04:14:31.522Z</dcterms:created>
  <dcterms:modified xsi:type="dcterms:W3CDTF">2026-07-05T04:14:31.522Z</dcterms:modified>
</cp:coreProperties>
</file>

<file path=docProps/custom.xml><?xml version="1.0" encoding="utf-8"?>
<Properties xmlns="http://schemas.openxmlformats.org/officeDocument/2006/custom-properties" xmlns:vt="http://schemas.openxmlformats.org/officeDocument/2006/docPropsVTypes"/>
</file>