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Synap Tech Financial &amp; Business Structure Guide</w:t>
      </w:r>
    </w:p>
    <w:p>
      <w:r>
        <w:br/>
        <w:t xml:space="preserve">This document outlines the financial structure, profit-sharing model, and strategic scaling plan for Synap Tech, </w:t>
        <w:br/>
        <w:t xml:space="preserve">founded by Reubenson Adat. The guide is designed to ensure fairness, transparency, and sustainability as the </w:t>
        <w:br/>
        <w:t>company grows through digital services, SaaS tools, and client-based projects.</w:t>
        <w:br/>
      </w:r>
    </w:p>
    <w:p>
      <w:pPr>
        <w:pStyle w:val="Heading2"/>
      </w:pPr>
      <w:r>
        <w:t>1. Profit-Sharing Model</w:t>
      </w:r>
    </w:p>
    <w:p>
      <w:r>
        <w:br/>
        <w:t xml:space="preserve">At Synap Tech, profits are distributed based on contribution, client acquisition, and operational needs. </w:t>
        <w:br/>
        <w:t>Below is the detailed structure for team size variations and project contributions:</w:t>
        <w:br/>
      </w:r>
    </w:p>
    <w:p>
      <w:r>
        <w:br/>
        <w:t>• If there are 2 members:</w:t>
        <w:br/>
        <w:t xml:space="preserve">  - The person who brings the client takes an extra 10–15% of total project earnings.</w:t>
        <w:br/>
        <w:t xml:space="preserve">  - The remaining profit is split equally between both members after deducting operational costs.</w:t>
        <w:br/>
        <w:br/>
        <w:t>• If there are 3 members:</w:t>
        <w:br/>
        <w:t xml:space="preserve">  - The client-bringer takes 10–15% more than others.</w:t>
        <w:br/>
        <w:t xml:space="preserve">  - The remaining 85–90% of profits are split equally among all three after expenses.</w:t>
        <w:br/>
        <w:br/>
        <w:t>• If there are 4 members or more:</w:t>
        <w:br/>
        <w:t xml:space="preserve">  - The client-bringer still takes the 10–15% bonus.</w:t>
        <w:br/>
        <w:t xml:space="preserve">  - The rest share the remaining equally.</w:t>
        <w:br/>
        <w:t xml:space="preserve">  - The founder (Reubenson) may take an additional 5% management fee for handling communication, project oversight, </w:t>
        <w:br/>
        <w:t xml:space="preserve">    and financial coordination.</w:t>
        <w:br/>
      </w:r>
    </w:p>
    <w:p>
      <w:pPr>
        <w:pStyle w:val="Heading2"/>
      </w:pPr>
      <w:r>
        <w:t>2. Tool &amp; Subscription Fund</w:t>
      </w:r>
    </w:p>
    <w:p>
      <w:r>
        <w:br/>
        <w:t>A fixed percentage (5–10%) of every project’s profit is allocated toward tools and services necessary for productivity.</w:t>
        <w:br/>
        <w:t>This includes:</w:t>
        <w:br/>
        <w:t>• Canva Pro</w:t>
        <w:br/>
        <w:t>• CapCut Pro</w:t>
        <w:br/>
        <w:t>• Figma Pro</w:t>
        <w:br/>
        <w:t>• Hosting (Hostinger, Vercel, etc.)</w:t>
        <w:br/>
        <w:t>• Domain renewals</w:t>
        <w:br/>
        <w:t>• Automation or design assets (e.g., from Design.com)</w:t>
        <w:br/>
        <w:br/>
        <w:t>This fund ensures that the team always has access to premium tools and can deliver high-quality work confidently.</w:t>
        <w:br/>
      </w:r>
    </w:p>
    <w:p>
      <w:pPr>
        <w:pStyle w:val="Heading2"/>
      </w:pPr>
      <w:r>
        <w:t>3. Investment Strategy for Revenue</w:t>
      </w:r>
    </w:p>
    <w:p>
      <w:r>
        <w:br/>
        <w:t>The 10% of your total earnings from work (e.g., part-time jobs or freelance gigs) will be used as follows:</w:t>
        <w:br/>
        <w:br/>
        <w:t>• 50% invested into Synap Tech operations — for hosting, tools, and team productivity.</w:t>
        <w:br/>
        <w:t>• 20% put into a high-risk, high-yield investment with 20–30% potential returns annually.</w:t>
        <w:br/>
        <w:t>• 20% set aside as an emergency fund.</w:t>
        <w:br/>
        <w:t>• 10% for recreation or social outings (maximum of 4–5 times a term).</w:t>
        <w:br/>
        <w:br/>
        <w:t>This strategy maintains a balance between reinvestment, personal well-being, and financial safety.</w:t>
        <w:br/>
      </w:r>
    </w:p>
    <w:p>
      <w:pPr>
        <w:pStyle w:val="Heading2"/>
      </w:pPr>
      <w:r>
        <w:t>4. Founder’s Role and Pay</w:t>
      </w:r>
    </w:p>
    <w:p>
      <w:r>
        <w:br/>
        <w:t>As the founder and lead client acquisition officer:</w:t>
        <w:br/>
        <w:t>• Reubenson is responsible for outreach, partnerships, and financial coordination.</w:t>
        <w:br/>
        <w:t>• He is entitled to a base management fee (5–10% of all project revenue) in addition to any client acquisition bonuses.</w:t>
        <w:br/>
        <w:t>• When another team member brings a client, they receive the acquisition bonus instead.</w:t>
        <w:br/>
        <w:br/>
        <w:t>This ensures fair incentives while maintaining motivation across the team.</w:t>
        <w:br/>
      </w:r>
    </w:p>
    <w:p>
      <w:pPr>
        <w:pStyle w:val="Heading2"/>
      </w:pPr>
      <w:r>
        <w:t>5. Ownership of Internal Projects</w:t>
      </w:r>
    </w:p>
    <w:p>
      <w:r>
        <w:br/>
        <w:t>When internal tools such as HostelsConnect, TutorsConnect, or CampusJobs are developed under Synap Tech:</w:t>
        <w:br/>
        <w:br/>
        <w:t>• If the founder fully finances and builds the product, ownership remains 100% with him but branded under Synap Tech.</w:t>
        <w:br/>
        <w:t>• If team members contribute design or development effort, ownership is shared proportionally based on contribution.</w:t>
        <w:br/>
        <w:t>• Profits from internal tools should still allocate 10% toward the company’s tool fund for sustainability.</w:t>
        <w:br/>
        <w:br/>
        <w:t>This model encourages initiative while keeping the company identity consistent.</w:t>
        <w:br/>
      </w:r>
    </w:p>
    <w:p>
      <w:pPr>
        <w:pStyle w:val="Heading2"/>
      </w:pPr>
      <w:r>
        <w:t>6. Growth &amp; Scaling Plan</w:t>
      </w:r>
    </w:p>
    <w:p>
      <w:r>
        <w:br/>
        <w:t>To scale Synap Tech effectively from Level 200 to post-National Service, follow these steps:</w:t>
        <w:br/>
        <w:br/>
        <w:t xml:space="preserve">1. **Level 200:** </w:t>
        <w:br/>
        <w:t xml:space="preserve">   - Focus on brand visibility (Instagram, WhatsApp, and LinkedIn).</w:t>
        <w:br/>
        <w:t xml:space="preserve">   - Build 2–3 high-quality client portfolios (e.g., YesChef, small SMEs).</w:t>
        <w:br/>
        <w:br/>
        <w:t>2. **Level 300:**</w:t>
        <w:br/>
        <w:t xml:space="preserve">   - Expand service list (add automation, chatbots, presentations, and SaaS micro-tools).</w:t>
        <w:br/>
        <w:t xml:space="preserve">   - Start creating in-house tools like HostelsConnect.</w:t>
        <w:br/>
        <w:br/>
        <w:t>3. **Level 400:**</w:t>
        <w:br/>
        <w:t xml:space="preserve">   - Build a recurring client system.</w:t>
        <w:br/>
        <w:t xml:space="preserve">   - Formalize pricing and hire part-time freelancers for design or web tasks.</w:t>
        <w:br/>
        <w:br/>
        <w:t>4. **Post-National Service:**</w:t>
        <w:br/>
        <w:t xml:space="preserve">   - Incorporate Synap Tech officially.</w:t>
        <w:br/>
        <w:t xml:space="preserve">   - Expand to corporate clients and educational institutions.</w:t>
        <w:br/>
        <w:t xml:space="preserve">   - Reinforce fixed deposit and reinvestment systems for company stability.</w:t>
        <w:br/>
      </w:r>
    </w:p>
    <w:p>
      <w:pPr>
        <w:pStyle w:val="Heading2"/>
      </w:pPr>
      <w:r>
        <w:t>7. Example: Financial Growth Projection</w:t>
      </w:r>
    </w:p>
    <w:p>
      <w:r>
        <w:br/>
        <w:t>Assuming you invest consistently into Synap Tech and fixed deposits over a 3-year period:</w:t>
        <w:br/>
        <w:br/>
        <w:t>• Fixed Deposit (GCB Bank):</w:t>
        <w:br/>
        <w:t xml:space="preserve">  - Year 1: 15% annual return</w:t>
        <w:br/>
        <w:t xml:space="preserve">  - Year 2: 12% annual return</w:t>
        <w:br/>
        <w:t xml:space="preserve">  - Year 3: 10% annual return</w:t>
        <w:br/>
        <w:t xml:space="preserve">  → Estimated total gain: ~40–42% over 3 years.</w:t>
        <w:br/>
        <w:br/>
        <w:t>• Synap Tech reinvestments:</w:t>
        <w:br/>
        <w:t xml:space="preserve">  - Assuming 10% of your earnings are invested yearly, and the company scales gradually,</w:t>
        <w:br/>
        <w:t xml:space="preserve">    expected ROI could reach 70–90% in business value (clients, tools, and team experience).</w:t>
        <w:br/>
        <w:br/>
        <w:t>This blend of fixed and active investment keeps your financial base stable while driving growth.</w:t>
        <w:br/>
      </w:r>
    </w:p>
    <w:p>
      <w:pPr>
        <w:pStyle w:val="Heading2"/>
      </w:pPr>
      <w:r>
        <w:t>Conclusion</w:t>
      </w:r>
    </w:p>
    <w:p>
      <w:r>
        <w:br/>
        <w:t>By following this financial and operational plan, Synap Tech can grow sustainably while ensuring fair compensation,</w:t>
        <w:br/>
        <w:t>continuous tool access, and future readiness. The structure also keeps team members motivated and maintains</w:t>
        <w:br/>
        <w:t>a strong foundation for scaling digital and SaaS products across universities and SMEs.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