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600CC" w14:textId="77777777" w:rsidR="00CF5E18" w:rsidRPr="002E0EA1" w:rsidRDefault="00CF5E18" w:rsidP="009E2AC2">
      <w:pPr>
        <w:rPr>
          <w:b/>
          <w:bCs/>
          <w:color w:val="1F497D" w:themeColor="text2"/>
          <w:sz w:val="32"/>
          <w:szCs w:val="32"/>
          <w:lang w:val="en-IN" w:eastAsia="en-IN"/>
        </w:rPr>
      </w:pPr>
      <w:r w:rsidRPr="002E0EA1">
        <w:rPr>
          <w:b/>
          <w:bCs/>
          <w:color w:val="1F497D" w:themeColor="text2"/>
          <w:sz w:val="32"/>
          <w:szCs w:val="32"/>
          <w:lang w:val="en-IN" w:eastAsia="en-IN"/>
        </w:rPr>
        <w:t>Customer Churn Prediction: Data Preparation Report</w:t>
      </w:r>
    </w:p>
    <w:p w14:paraId="72D58294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1. Data Gathering</w:t>
      </w:r>
    </w:p>
    <w:p w14:paraId="03FF4E1F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Data Sources Selected</w:t>
      </w:r>
    </w:p>
    <w:p w14:paraId="7464B388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9E2AC2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a) Customer Demographics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Features included: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CustomerID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>, Age, Gender, Marital Status, Income Level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Rationale: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 Demographic data can influence customer preferences, purchasing 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behavior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>, and ultimately, their churn risk.</w:t>
      </w:r>
    </w:p>
    <w:p w14:paraId="5648520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9E2AC2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b) Transaction History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Features included: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CustomerID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, 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TransactionID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>, Date, Amount Spent, Product Category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Rationale: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 Frequency, recency, and value of transactions are strong 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behavioral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churn indicators.</w:t>
      </w:r>
    </w:p>
    <w:p w14:paraId="2F80C16C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9E2AC2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c) Customer Service Interactions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Features included: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CustomerID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>, Interaction Date, Issue Type, Time to Resolution, Satisfaction Score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Rationale: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Poor service experiences or unresolved issues often lead to higher churn.</w:t>
      </w:r>
    </w:p>
    <w:p w14:paraId="79891A02" w14:textId="7065A225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Selection Criteria: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Data sets were chosen because they</w:t>
      </w:r>
      <w:r w:rsidR="009E2AC2">
        <w:rPr>
          <w:rFonts w:ascii="Segoe UI" w:hAnsi="Segoe UI" w:cs="Segoe UI"/>
          <w:sz w:val="24"/>
          <w:szCs w:val="24"/>
          <w:lang w:val="en-IN" w:eastAsia="en-IN"/>
        </w:rPr>
        <w:t>:</w:t>
      </w:r>
    </w:p>
    <w:p w14:paraId="1BB7AD66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Can be connected by 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CustomerID</w:t>
      </w:r>
      <w:proofErr w:type="spellEnd"/>
    </w:p>
    <w:p w14:paraId="7083E078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Cover key aspects of customer life cycle (demographics, purchasing, service)</w:t>
      </w:r>
    </w:p>
    <w:p w14:paraId="0E474133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Are sufficiently complete for analysis (minimal missing/erroneous data)</w:t>
      </w:r>
    </w:p>
    <w:p w14:paraId="5E9D00B1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2. Exploratory Data Analysis (EDA)</w:t>
      </w:r>
    </w:p>
    <w:p w14:paraId="483064DC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Summary Statistics</w:t>
      </w:r>
    </w:p>
    <w:p w14:paraId="039A2E9B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Customer Demographics: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Age: 18-70 (mean=35), Gender: 52% Female, Marital: 55% Married, Income: normally distributed</w:t>
      </w:r>
    </w:p>
    <w:p w14:paraId="4CFAAC40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Transaction History: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 Median annual transactions per customer: 12, Average </w:t>
      </w:r>
      <w:proofErr w:type="gramStart"/>
      <w:r w:rsidRPr="00CF5E18">
        <w:rPr>
          <w:rFonts w:ascii="Segoe UI" w:hAnsi="Segoe UI" w:cs="Segoe UI"/>
          <w:sz w:val="24"/>
          <w:szCs w:val="24"/>
          <w:lang w:val="en-IN" w:eastAsia="en-IN"/>
        </w:rPr>
        <w:t>spend</w:t>
      </w:r>
      <w:proofErr w:type="gramEnd"/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per transaction: $58</w:t>
      </w:r>
    </w:p>
    <w:p w14:paraId="47AEF914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lastRenderedPageBreak/>
        <w:t>Service Interactions: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70% of customers contacted support at least once; average resolution time: 1.5 days</w:t>
      </w:r>
    </w:p>
    <w:p w14:paraId="1E964856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Key Visualisations</w:t>
      </w:r>
    </w:p>
    <w:p w14:paraId="0661DD71" w14:textId="347221B4" w:rsidR="00CF5E18" w:rsidRPr="002E0EA1" w:rsidRDefault="00CF5E18" w:rsidP="009E2AC2">
      <w:pPr>
        <w:rPr>
          <w:rFonts w:ascii="Segoe UI" w:hAnsi="Segoe UI" w:cs="Segoe UI"/>
          <w:b/>
          <w:bCs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Histogram</w:t>
      </w:r>
    </w:p>
    <w:p w14:paraId="7378F57D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Age: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Slightly right-skewed; most customers between 25-45</w:t>
      </w:r>
    </w:p>
    <w:p w14:paraId="026EBA85" w14:textId="77777777" w:rsid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Amount Spent: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Right-skewed, with high-value outliers</w:t>
      </w:r>
    </w:p>
    <w:p w14:paraId="53DD7458" w14:textId="5227F9A0" w:rsidR="00117ACC" w:rsidRPr="00CF5E18" w:rsidRDefault="00117ACC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90CA63E" wp14:editId="19F71E0D">
            <wp:extent cx="5486400" cy="3783330"/>
            <wp:effectExtent l="0" t="0" r="0" b="7620"/>
            <wp:docPr id="16371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BB32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4E0E0445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051DE283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760741F9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77E2B63F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12CC5223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6CF62867" w14:textId="4F769203" w:rsidR="00CF5E18" w:rsidRPr="002E0EA1" w:rsidRDefault="00CF5E18" w:rsidP="009E2AC2">
      <w:pPr>
        <w:rPr>
          <w:rFonts w:ascii="Segoe UI" w:hAnsi="Segoe UI" w:cs="Segoe UI"/>
          <w:b/>
          <w:bCs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lastRenderedPageBreak/>
        <w:t>Box Plot</w:t>
      </w:r>
    </w:p>
    <w:p w14:paraId="3A78D814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Amount Spent by Income Level: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Median spend rises with income (some high outliers within all groups)</w:t>
      </w:r>
    </w:p>
    <w:p w14:paraId="49064DF5" w14:textId="77777777" w:rsid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Satisfaction Score by Churn: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Lower scores are more common among churned customers</w:t>
      </w:r>
    </w:p>
    <w:p w14:paraId="73227216" w14:textId="3859AB62" w:rsidR="00117ACC" w:rsidRPr="00CF5E18" w:rsidRDefault="00117ACC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50B6153" wp14:editId="13F7EB38">
            <wp:extent cx="4914900" cy="3009900"/>
            <wp:effectExtent l="0" t="0" r="0" b="0"/>
            <wp:docPr id="158067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0ABD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2CAB3163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14DEDB9B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1D6ACD0C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7B709C0F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22E5B6C5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061C2C98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27684059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7AE5FDCA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74DA7233" w14:textId="77777777" w:rsidR="004311C0" w:rsidRDefault="004311C0" w:rsidP="009E2AC2">
      <w:pPr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</w:pPr>
    </w:p>
    <w:p w14:paraId="11E98FEA" w14:textId="644637E0" w:rsidR="00CF5E18" w:rsidRPr="002E0EA1" w:rsidRDefault="00CF5E18" w:rsidP="009E2AC2">
      <w:pPr>
        <w:rPr>
          <w:rFonts w:ascii="Segoe UI" w:hAnsi="Segoe UI" w:cs="Segoe UI"/>
          <w:b/>
          <w:bCs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lastRenderedPageBreak/>
        <w:t>Scatter Plot</w:t>
      </w:r>
    </w:p>
    <w:p w14:paraId="4842CAAA" w14:textId="77777777" w:rsid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Transaction Frequency vs. Amount Spent: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Most active customers tend to spend more</w:t>
      </w:r>
    </w:p>
    <w:p w14:paraId="4139694B" w14:textId="77777777" w:rsid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</w:p>
    <w:p w14:paraId="14B9FED0" w14:textId="77777777" w:rsidR="002E0EA1" w:rsidRDefault="00117ACC" w:rsidP="009E2AC2">
      <w:pPr>
        <w:rPr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52CF8C77" wp14:editId="77C65E3C">
            <wp:extent cx="5486400" cy="3459480"/>
            <wp:effectExtent l="0" t="0" r="0" b="7620"/>
            <wp:docPr id="1028632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C09C" w14:textId="2023B3EB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Patterns/Anomalies</w:t>
      </w:r>
    </w:p>
    <w:p w14:paraId="6B9B0D3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Customers with fewer transactions and lower satisfaction scores appear more likely to churn.</w:t>
      </w:r>
    </w:p>
    <w:p w14:paraId="3657E4E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lang w:val="en-IN" w:eastAsia="en-IN"/>
        </w:rPr>
        <w:t>Outliers: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Some customers have abnormally high </w:t>
      </w:r>
      <w:proofErr w:type="gramStart"/>
      <w:r w:rsidRPr="00CF5E18">
        <w:rPr>
          <w:rFonts w:ascii="Segoe UI" w:hAnsi="Segoe UI" w:cs="Segoe UI"/>
          <w:sz w:val="24"/>
          <w:szCs w:val="24"/>
          <w:lang w:val="en-IN" w:eastAsia="en-IN"/>
        </w:rPr>
        <w:t>spends</w:t>
      </w:r>
      <w:proofErr w:type="gramEnd"/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or unusually frequent service contacts.</w:t>
      </w:r>
    </w:p>
    <w:p w14:paraId="64F65D65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Key Features Identified</w:t>
      </w:r>
    </w:p>
    <w:p w14:paraId="5A69CAD9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Age, Income, Recent Spend, Transaction Frequency, Service Interactions, Satisfaction Score</w:t>
      </w:r>
    </w:p>
    <w:p w14:paraId="14D097B7" w14:textId="77777777" w:rsidR="004311C0" w:rsidRDefault="004311C0" w:rsidP="009E2AC2">
      <w:pPr>
        <w:rPr>
          <w:b/>
          <w:bCs/>
          <w:sz w:val="28"/>
          <w:szCs w:val="28"/>
          <w:lang w:val="en-IN" w:eastAsia="en-IN"/>
        </w:rPr>
      </w:pPr>
    </w:p>
    <w:p w14:paraId="7138314A" w14:textId="77777777" w:rsidR="004311C0" w:rsidRDefault="004311C0" w:rsidP="009E2AC2">
      <w:pPr>
        <w:rPr>
          <w:b/>
          <w:bCs/>
          <w:sz w:val="28"/>
          <w:szCs w:val="28"/>
          <w:lang w:val="en-IN" w:eastAsia="en-IN"/>
        </w:rPr>
      </w:pPr>
    </w:p>
    <w:p w14:paraId="2797DAE6" w14:textId="215912EF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lastRenderedPageBreak/>
        <w:t>3. Data Cleaning and Preprocessing</w:t>
      </w:r>
    </w:p>
    <w:p w14:paraId="07B56AE5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Missing Values</w:t>
      </w:r>
    </w:p>
    <w:p w14:paraId="55D295A7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Demographics: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&lt;1% missing values in income/age.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Action: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Imputed median for income, mean for age.</w:t>
      </w:r>
    </w:p>
    <w:p w14:paraId="0AC405E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Transactions: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Minimal missing values. Dropped incomplete rows (&lt;0.5%).</w:t>
      </w:r>
    </w:p>
    <w:p w14:paraId="1D244245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Service Interactions: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2% missing satisfaction. Imputed with column mean.</w:t>
      </w:r>
    </w:p>
    <w:p w14:paraId="130F1D7F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Justification: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Imputation preserves data and avoids bias for small missing proportions.</w:t>
      </w:r>
    </w:p>
    <w:p w14:paraId="45EB4F1A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Outlier Handling</w:t>
      </w:r>
    </w:p>
    <w:p w14:paraId="6F467A99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Spend: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Values above 99th percentile flagged as outliers.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Action: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Capped to 99th percentile (prevents model distortion, preserves ranking).</w:t>
      </w:r>
    </w:p>
    <w:p w14:paraId="7DDA3DD5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2E0EA1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Age: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Checked for impossible values (&lt;18 or &gt;99).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</w:r>
      <w:r w:rsidRPr="002E0EA1">
        <w:rPr>
          <w:rFonts w:ascii="Segoe UI" w:hAnsi="Segoe UI" w:cs="Segoe UI"/>
          <w:b/>
          <w:bCs/>
          <w:i/>
          <w:iCs/>
          <w:sz w:val="24"/>
          <w:szCs w:val="24"/>
          <w:bdr w:val="single" w:sz="2" w:space="0" w:color="E5E7EB" w:frame="1"/>
          <w:lang w:val="en-IN" w:eastAsia="en-IN"/>
        </w:rPr>
        <w:t>Action: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Removed 3 records with invalid ages.</w:t>
      </w:r>
    </w:p>
    <w:p w14:paraId="38831721" w14:textId="77777777" w:rsidR="00CF5E18" w:rsidRPr="002E0EA1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2E0EA1">
        <w:rPr>
          <w:b/>
          <w:bCs/>
          <w:sz w:val="28"/>
          <w:szCs w:val="28"/>
          <w:lang w:val="en-IN" w:eastAsia="en-IN"/>
        </w:rPr>
        <w:t>Standardization/Normalization</w:t>
      </w:r>
    </w:p>
    <w:p w14:paraId="181B257B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4B1290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Numerical columns (Age, Spend, Transaction Count):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  <w:t>Standardized (zero mean, unit variance), as required by many ML algorithms.</w:t>
      </w:r>
    </w:p>
    <w:p w14:paraId="6479A703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4B1290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Categorical columns (Gender, Marital, Income, Product Category, Issue Type):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br/>
        <w:t>One-hot encoded.</w:t>
      </w:r>
    </w:p>
    <w:p w14:paraId="2A091B4C" w14:textId="77777777" w:rsidR="00CF5E18" w:rsidRPr="004B1290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4B1290">
        <w:rPr>
          <w:b/>
          <w:bCs/>
          <w:sz w:val="28"/>
          <w:szCs w:val="28"/>
          <w:lang w:val="en-IN" w:eastAsia="en-IN"/>
        </w:rPr>
        <w:t xml:space="preserve">4. Cleaned &amp; </w:t>
      </w:r>
      <w:proofErr w:type="spellStart"/>
      <w:r w:rsidRPr="004B1290">
        <w:rPr>
          <w:b/>
          <w:bCs/>
          <w:sz w:val="28"/>
          <w:szCs w:val="28"/>
          <w:lang w:val="en-IN" w:eastAsia="en-IN"/>
        </w:rPr>
        <w:t>Preprocessed</w:t>
      </w:r>
      <w:proofErr w:type="spellEnd"/>
      <w:r w:rsidRPr="004B1290">
        <w:rPr>
          <w:b/>
          <w:bCs/>
          <w:sz w:val="28"/>
          <w:szCs w:val="28"/>
          <w:lang w:val="en-IN" w:eastAsia="en-IN"/>
        </w:rPr>
        <w:t xml:space="preserve"> Dataset</w:t>
      </w:r>
    </w:p>
    <w:p w14:paraId="3A68FA17" w14:textId="353F04DC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4B1290">
        <w:rPr>
          <w:rFonts w:ascii="Segoe UI" w:hAnsi="Segoe UI" w:cs="Segoe UI"/>
          <w:b/>
          <w:bCs/>
          <w:sz w:val="24"/>
          <w:szCs w:val="24"/>
          <w:bdr w:val="single" w:sz="2" w:space="0" w:color="E5E7EB" w:frame="1"/>
          <w:lang w:val="en-IN" w:eastAsia="en-IN"/>
        </w:rPr>
        <w:t>Shape: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 4,800 customers, 18 columns </w:t>
      </w:r>
    </w:p>
    <w:p w14:paraId="684F2922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bdr w:val="single" w:sz="2" w:space="0" w:color="E5E7EB" w:frame="1"/>
          <w:lang w:val="en-IN" w:eastAsia="en-IN"/>
        </w:rPr>
        <w:t>Ready for model building</w:t>
      </w:r>
    </w:p>
    <w:p w14:paraId="3FE9E2F4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No missing values</w:t>
      </w:r>
    </w:p>
    <w:p w14:paraId="0AB4902C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All features numeric/scaled or binary</w:t>
      </w:r>
    </w:p>
    <w:p w14:paraId="4C0BA02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Outliers treated</w:t>
      </w:r>
    </w:p>
    <w:p w14:paraId="750CE763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lastRenderedPageBreak/>
        <w:t>Target variable (Churn) in place</w:t>
      </w:r>
    </w:p>
    <w:p w14:paraId="0B15C9A3" w14:textId="77777777" w:rsidR="00CF5E18" w:rsidRPr="004B1290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4B1290">
        <w:rPr>
          <w:b/>
          <w:bCs/>
          <w:sz w:val="28"/>
          <w:szCs w:val="28"/>
          <w:lang w:val="en-IN" w:eastAsia="en-IN"/>
        </w:rPr>
        <w:t>5. Summary</w:t>
      </w:r>
    </w:p>
    <w:p w14:paraId="5DE531AD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bdr w:val="single" w:sz="2" w:space="0" w:color="E5E7EB" w:frame="1"/>
          <w:lang w:val="en-IN" w:eastAsia="en-IN"/>
        </w:rPr>
        <w:t>Data sets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(Demographics, Transactions, Service) provide wide coverage of churn predictors.</w:t>
      </w:r>
    </w:p>
    <w:p w14:paraId="3CAFB448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bdr w:val="single" w:sz="2" w:space="0" w:color="E5E7EB" w:frame="1"/>
          <w:lang w:val="en-IN" w:eastAsia="en-IN"/>
        </w:rPr>
        <w:t>EDA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 identified key features, trends, and outliers relevant for churn 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modeling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>.</w:t>
      </w:r>
    </w:p>
    <w:p w14:paraId="3BA4005A" w14:textId="77777777" w:rsid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bdr w:val="single" w:sz="2" w:space="0" w:color="E5E7EB" w:frame="1"/>
          <w:lang w:val="en-IN" w:eastAsia="en-IN"/>
        </w:rPr>
        <w:t>Cleaning/preprocessing</w:t>
      </w:r>
      <w:r w:rsidRPr="00CF5E18">
        <w:rPr>
          <w:rFonts w:ascii="Segoe UI" w:hAnsi="Segoe UI" w:cs="Segoe UI"/>
          <w:sz w:val="24"/>
          <w:szCs w:val="24"/>
          <w:lang w:val="en-IN" w:eastAsia="en-IN"/>
        </w:rPr>
        <w:t> produced a high-quality, ML-ready dataset.</w:t>
      </w:r>
    </w:p>
    <w:p w14:paraId="18A536C6" w14:textId="77777777" w:rsidR="00C857C3" w:rsidRDefault="00C857C3" w:rsidP="009E2AC2">
      <w:pPr>
        <w:rPr>
          <w:rFonts w:ascii="Segoe UI" w:hAnsi="Segoe UI" w:cs="Segoe UI"/>
          <w:sz w:val="24"/>
          <w:szCs w:val="24"/>
          <w:lang w:val="en-IN" w:eastAsia="en-IN"/>
        </w:rPr>
      </w:pPr>
    </w:p>
    <w:p w14:paraId="1DAE6081" w14:textId="63AA55AA" w:rsidR="00CF5E18" w:rsidRPr="004B1290" w:rsidRDefault="00CF5E18" w:rsidP="009E2AC2">
      <w:pPr>
        <w:rPr>
          <w:b/>
          <w:bCs/>
          <w:sz w:val="28"/>
          <w:szCs w:val="28"/>
          <w:lang w:val="en-IN" w:eastAsia="en-IN"/>
        </w:rPr>
      </w:pPr>
      <w:r w:rsidRPr="004B1290">
        <w:rPr>
          <w:b/>
          <w:bCs/>
          <w:sz w:val="28"/>
          <w:szCs w:val="28"/>
          <w:lang w:val="en-IN" w:eastAsia="en-IN"/>
        </w:rPr>
        <w:t>Recommendations for Next Steps</w:t>
      </w:r>
    </w:p>
    <w:p w14:paraId="45B8E63E" w14:textId="77777777" w:rsidR="00CF5E18" w:rsidRPr="00CF5E18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Create domain-specific features (e.g., "days since last purchase", "</w:t>
      </w:r>
      <w:proofErr w:type="spellStart"/>
      <w:r w:rsidRPr="00CF5E18">
        <w:rPr>
          <w:rFonts w:ascii="Segoe UI" w:hAnsi="Segoe UI" w:cs="Segoe UI"/>
          <w:sz w:val="24"/>
          <w:szCs w:val="24"/>
          <w:lang w:val="en-IN" w:eastAsia="en-IN"/>
        </w:rPr>
        <w:t>avg</w:t>
      </w:r>
      <w:proofErr w:type="spellEnd"/>
      <w:r w:rsidRPr="00CF5E18">
        <w:rPr>
          <w:rFonts w:ascii="Segoe UI" w:hAnsi="Segoe UI" w:cs="Segoe UI"/>
          <w:sz w:val="24"/>
          <w:szCs w:val="24"/>
          <w:lang w:val="en-IN" w:eastAsia="en-IN"/>
        </w:rPr>
        <w:t xml:space="preserve"> service satisfaction").</w:t>
      </w:r>
    </w:p>
    <w:p w14:paraId="75C2111A" w14:textId="1924F53A" w:rsidR="00E7165D" w:rsidRPr="004B1290" w:rsidRDefault="00CF5E18" w:rsidP="009E2AC2">
      <w:pPr>
        <w:rPr>
          <w:rFonts w:ascii="Segoe UI" w:hAnsi="Segoe UI" w:cs="Segoe UI"/>
          <w:sz w:val="24"/>
          <w:szCs w:val="24"/>
          <w:lang w:val="en-IN" w:eastAsia="en-IN"/>
        </w:rPr>
      </w:pPr>
      <w:r w:rsidRPr="00CF5E18">
        <w:rPr>
          <w:rFonts w:ascii="Segoe UI" w:hAnsi="Segoe UI" w:cs="Segoe UI"/>
          <w:sz w:val="24"/>
          <w:szCs w:val="24"/>
          <w:lang w:val="en-IN" w:eastAsia="en-IN"/>
        </w:rPr>
        <w:t>Proceed to model selection, training, and validation.</w:t>
      </w:r>
    </w:p>
    <w:sectPr w:rsidR="00E7165D" w:rsidRPr="004B1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D5A94"/>
    <w:multiLevelType w:val="multilevel"/>
    <w:tmpl w:val="75E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CB3539"/>
    <w:multiLevelType w:val="multilevel"/>
    <w:tmpl w:val="2A8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21CF0"/>
    <w:multiLevelType w:val="multilevel"/>
    <w:tmpl w:val="BB7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0536B"/>
    <w:multiLevelType w:val="multilevel"/>
    <w:tmpl w:val="068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97D3D"/>
    <w:multiLevelType w:val="multilevel"/>
    <w:tmpl w:val="D9B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F57D5E"/>
    <w:multiLevelType w:val="multilevel"/>
    <w:tmpl w:val="903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C50A92"/>
    <w:multiLevelType w:val="multilevel"/>
    <w:tmpl w:val="54A8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FD792F"/>
    <w:multiLevelType w:val="multilevel"/>
    <w:tmpl w:val="C5AA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E311A"/>
    <w:multiLevelType w:val="multilevel"/>
    <w:tmpl w:val="FA6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5D0C47"/>
    <w:multiLevelType w:val="multilevel"/>
    <w:tmpl w:val="5A5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9E239D"/>
    <w:multiLevelType w:val="multilevel"/>
    <w:tmpl w:val="F38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501642">
    <w:abstractNumId w:val="8"/>
  </w:num>
  <w:num w:numId="2" w16cid:durableId="622227531">
    <w:abstractNumId w:val="6"/>
  </w:num>
  <w:num w:numId="3" w16cid:durableId="653604866">
    <w:abstractNumId w:val="5"/>
  </w:num>
  <w:num w:numId="4" w16cid:durableId="2086535878">
    <w:abstractNumId w:val="4"/>
  </w:num>
  <w:num w:numId="5" w16cid:durableId="944965306">
    <w:abstractNumId w:val="7"/>
  </w:num>
  <w:num w:numId="6" w16cid:durableId="2015452921">
    <w:abstractNumId w:val="3"/>
  </w:num>
  <w:num w:numId="7" w16cid:durableId="748773352">
    <w:abstractNumId w:val="2"/>
  </w:num>
  <w:num w:numId="8" w16cid:durableId="700083410">
    <w:abstractNumId w:val="1"/>
  </w:num>
  <w:num w:numId="9" w16cid:durableId="1094933379">
    <w:abstractNumId w:val="0"/>
  </w:num>
  <w:num w:numId="10" w16cid:durableId="1744067450">
    <w:abstractNumId w:val="14"/>
  </w:num>
  <w:num w:numId="11" w16cid:durableId="265620051">
    <w:abstractNumId w:val="12"/>
  </w:num>
  <w:num w:numId="12" w16cid:durableId="743575851">
    <w:abstractNumId w:val="16"/>
  </w:num>
  <w:num w:numId="13" w16cid:durableId="212277679">
    <w:abstractNumId w:val="13"/>
  </w:num>
  <w:num w:numId="14" w16cid:durableId="1847675109">
    <w:abstractNumId w:val="9"/>
  </w:num>
  <w:num w:numId="15" w16cid:durableId="1139806942">
    <w:abstractNumId w:val="17"/>
  </w:num>
  <w:num w:numId="16" w16cid:durableId="1632445200">
    <w:abstractNumId w:val="10"/>
  </w:num>
  <w:num w:numId="17" w16cid:durableId="1888377175">
    <w:abstractNumId w:val="18"/>
  </w:num>
  <w:num w:numId="18" w16cid:durableId="785076471">
    <w:abstractNumId w:val="11"/>
  </w:num>
  <w:num w:numId="19" w16cid:durableId="1435055046">
    <w:abstractNumId w:val="15"/>
  </w:num>
  <w:num w:numId="20" w16cid:durableId="14385227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ACC"/>
    <w:rsid w:val="00146E29"/>
    <w:rsid w:val="0015074B"/>
    <w:rsid w:val="0029639D"/>
    <w:rsid w:val="002E0EA1"/>
    <w:rsid w:val="00326F90"/>
    <w:rsid w:val="004311C0"/>
    <w:rsid w:val="004B1290"/>
    <w:rsid w:val="005952A2"/>
    <w:rsid w:val="009717F3"/>
    <w:rsid w:val="009E2AC2"/>
    <w:rsid w:val="00A21C55"/>
    <w:rsid w:val="00AA1D8D"/>
    <w:rsid w:val="00B47730"/>
    <w:rsid w:val="00BA74A3"/>
    <w:rsid w:val="00BB5B43"/>
    <w:rsid w:val="00C857C3"/>
    <w:rsid w:val="00CB0664"/>
    <w:rsid w:val="00CF5E18"/>
    <w:rsid w:val="00DF0750"/>
    <w:rsid w:val="00E716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03FC6"/>
  <w14:defaultImageDpi w14:val="300"/>
  <w15:docId w15:val="{BB14422D-8DAF-884D-B9F8-9A3AA186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Reuel Almeida Chinan</cp:lastModifiedBy>
  <cp:revision>9</cp:revision>
  <dcterms:created xsi:type="dcterms:W3CDTF">2013-12-23T23:15:00Z</dcterms:created>
  <dcterms:modified xsi:type="dcterms:W3CDTF">2025-07-27T17:19:00Z</dcterms:modified>
  <cp:category/>
</cp:coreProperties>
</file>