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2FC26" w14:textId="77777777" w:rsidR="006F35F5" w:rsidRDefault="006F35F5" w:rsidP="006F35F5"/>
    <w:p w14:paraId="11D00BE2" w14:textId="77777777" w:rsidR="006F35F5" w:rsidRDefault="006F35F5" w:rsidP="006F35F5">
      <w:r>
        <w:t>---</w:t>
      </w:r>
    </w:p>
    <w:p w14:paraId="75649AEA" w14:textId="77777777" w:rsidR="006F35F5" w:rsidRDefault="006F35F5" w:rsidP="006F35F5"/>
    <w:p w14:paraId="2F97FD98" w14:textId="77777777" w:rsidR="006F35F5" w:rsidRDefault="006F35F5" w:rsidP="006F35F5">
      <w:r>
        <w:t>CONSTANTES DE PESO Y ACOPLAMIENTO DE LA TERAPIA CURATIVA UNIVERSAL BASADA EN CRISPR-LNP</w:t>
      </w:r>
    </w:p>
    <w:p w14:paraId="74E869FC" w14:textId="77777777" w:rsidR="006F35F5" w:rsidRDefault="006F35F5" w:rsidP="006F35F5"/>
    <w:p w14:paraId="1336EA7A" w14:textId="77777777" w:rsidR="006F35F5" w:rsidRDefault="006F35F5" w:rsidP="006F35F5">
      <w:r>
        <w:t>1. Introducción: necesidad y alcance de las constantes</w:t>
      </w:r>
    </w:p>
    <w:p w14:paraId="3CCDFC99" w14:textId="77777777" w:rsidR="006F35F5" w:rsidRDefault="006F35F5" w:rsidP="006F35F5"/>
    <w:p w14:paraId="45604EDA" w14:textId="77777777" w:rsidR="006F35F5" w:rsidRDefault="006F35F5" w:rsidP="006F35F5">
      <w:r>
        <w:t xml:space="preserve">La terapia descrita combina un sistema de edición génica CRISPR/Cas9 de alta fidelidad con </w:t>
      </w:r>
      <w:proofErr w:type="spellStart"/>
      <w:r>
        <w:t>nanopartículas</w:t>
      </w:r>
      <w:proofErr w:type="spellEnd"/>
      <w:r>
        <w:t xml:space="preserve"> lipídicas (LNP) dirigidas a reservorios celulares. Para modelar su comportamiento, diseñar formulaciones y predecir su eficacia, es indispensable conocer con precisión:</w:t>
      </w:r>
    </w:p>
    <w:p w14:paraId="1ABDCFCC" w14:textId="77777777" w:rsidR="006F35F5" w:rsidRDefault="006F35F5" w:rsidP="006F35F5"/>
    <w:p w14:paraId="7ED98D56" w14:textId="77777777" w:rsidR="006F35F5" w:rsidRDefault="006F35F5" w:rsidP="006F35F5">
      <w:r>
        <w:t xml:space="preserve">· Pesos moleculares (PM) de cada componente, esenciales para cálculos </w:t>
      </w:r>
      <w:proofErr w:type="spellStart"/>
      <w:r>
        <w:t>estequiométricos</w:t>
      </w:r>
      <w:proofErr w:type="spellEnd"/>
      <w:r>
        <w:t xml:space="preserve"> y de dosificación.</w:t>
      </w:r>
    </w:p>
    <w:p w14:paraId="7B102056" w14:textId="77777777" w:rsidR="006F35F5" w:rsidRDefault="006F35F5" w:rsidP="006F35F5">
      <w:r>
        <w:t>· Constantes de acoplamiento (afinidades, constantes cinéticas) que determinan la interacción entre los componentes de la terapia y sus dianas biológicas.</w:t>
      </w:r>
    </w:p>
    <w:p w14:paraId="34B58C70" w14:textId="77777777" w:rsidR="006F35F5" w:rsidRDefault="006F35F5" w:rsidP="006F35F5"/>
    <w:p w14:paraId="33D96EA5" w14:textId="77777777" w:rsidR="006F35F5" w:rsidRDefault="006F35F5" w:rsidP="006F35F5">
      <w:r>
        <w:t>A continuación se enumeran y explican todas estas constantes, organizadas por categorías funcionales.</w:t>
      </w:r>
    </w:p>
    <w:p w14:paraId="37766E22" w14:textId="77777777" w:rsidR="006F35F5" w:rsidRDefault="006F35F5" w:rsidP="006F35F5"/>
    <w:p w14:paraId="556BDF0C" w14:textId="77777777" w:rsidR="006F35F5" w:rsidRDefault="006F35F5" w:rsidP="006F35F5">
      <w:r>
        <w:t>---</w:t>
      </w:r>
    </w:p>
    <w:p w14:paraId="2658C141" w14:textId="77777777" w:rsidR="006F35F5" w:rsidRDefault="006F35F5" w:rsidP="006F35F5"/>
    <w:p w14:paraId="35FA91B0" w14:textId="77777777" w:rsidR="006F35F5" w:rsidRDefault="006F35F5" w:rsidP="006F35F5">
      <w:r>
        <w:t>2. Pesos moleculares de los componentes clave</w:t>
      </w:r>
    </w:p>
    <w:p w14:paraId="68B3D3D1" w14:textId="77777777" w:rsidR="006F35F5" w:rsidRDefault="006F35F5" w:rsidP="006F35F5"/>
    <w:p w14:paraId="55D1F2AF" w14:textId="77777777" w:rsidR="006F35F5" w:rsidRDefault="006F35F5" w:rsidP="006F35F5">
      <w:r>
        <w:t>2.1. Ácido ribonucleico guía (</w:t>
      </w:r>
      <w:proofErr w:type="spellStart"/>
      <w:r>
        <w:t>gRNA</w:t>
      </w:r>
      <w:proofErr w:type="spellEnd"/>
      <w:r>
        <w:t>)</w:t>
      </w:r>
    </w:p>
    <w:p w14:paraId="725803C8" w14:textId="77777777" w:rsidR="006F35F5" w:rsidRDefault="006F35F5" w:rsidP="006F35F5"/>
    <w:p w14:paraId="3595F230" w14:textId="77777777" w:rsidR="006F35F5" w:rsidRDefault="006F35F5" w:rsidP="006F35F5">
      <w:r>
        <w:t xml:space="preserve">El </w:t>
      </w:r>
      <w:proofErr w:type="spellStart"/>
      <w:r>
        <w:t>gRNA</w:t>
      </w:r>
      <w:proofErr w:type="spellEnd"/>
      <w:r>
        <w:t xml:space="preserve"> está formado por:</w:t>
      </w:r>
    </w:p>
    <w:p w14:paraId="5478EFE1" w14:textId="77777777" w:rsidR="006F35F5" w:rsidRDefault="006F35F5" w:rsidP="006F35F5"/>
    <w:p w14:paraId="3E977FC7" w14:textId="77777777" w:rsidR="006F35F5" w:rsidRDefault="006F35F5" w:rsidP="006F35F5">
      <w:r>
        <w:t>· Una secuencia espaciadora de 20 nucleótidos.</w:t>
      </w:r>
    </w:p>
    <w:p w14:paraId="550DC47E" w14:textId="77777777" w:rsidR="006F35F5" w:rsidRDefault="006F35F5" w:rsidP="006F35F5">
      <w:r>
        <w:t xml:space="preserve">· Un </w:t>
      </w:r>
      <w:proofErr w:type="spellStart"/>
      <w:r>
        <w:t>scaffold</w:t>
      </w:r>
      <w:proofErr w:type="spellEnd"/>
      <w:r>
        <w:t xml:space="preserve"> de unión a Cas9 de 42 nucleótidos.</w:t>
      </w:r>
    </w:p>
    <w:p w14:paraId="0C37EF64" w14:textId="77777777" w:rsidR="006F35F5" w:rsidRDefault="006F35F5" w:rsidP="006F35F5">
      <w:r>
        <w:t>· Una etiqueta molecular de 5 nucleótidos no codificantes.</w:t>
      </w:r>
    </w:p>
    <w:p w14:paraId="58E78C18" w14:textId="77777777" w:rsidR="006F35F5" w:rsidRDefault="006F35F5" w:rsidP="006F35F5">
      <w:r>
        <w:t xml:space="preserve">· Modificaciones químicas: 2’-O-metil en los extremos y enlaces </w:t>
      </w:r>
      <w:proofErr w:type="spellStart"/>
      <w:r>
        <w:t>fósforotioato</w:t>
      </w:r>
      <w:proofErr w:type="spellEnd"/>
      <w:r>
        <w:t>.</w:t>
      </w:r>
    </w:p>
    <w:p w14:paraId="45F65A79" w14:textId="77777777" w:rsidR="006F35F5" w:rsidRDefault="006F35F5" w:rsidP="006F35F5"/>
    <w:p w14:paraId="16F9A110" w14:textId="77777777" w:rsidR="006F35F5" w:rsidRDefault="006F35F5" w:rsidP="006F35F5">
      <w:r>
        <w:t>Longitud total: 20 + 42 + 5 = 67 nucleótidos.</w:t>
      </w:r>
    </w:p>
    <w:p w14:paraId="01A492C5" w14:textId="77777777" w:rsidR="006F35F5" w:rsidRDefault="006F35F5" w:rsidP="006F35F5">
      <w:r>
        <w:t>Peso molecular medio por nucleótido (ARN modificado): ≈ 330 Da (el ARN natural tiene ~330 Da/</w:t>
      </w:r>
      <w:proofErr w:type="spellStart"/>
      <w:r>
        <w:t>nt</w:t>
      </w:r>
      <w:proofErr w:type="spellEnd"/>
      <w:r>
        <w:t>, las modificaciones añaden ~10–20 Da por base).</w:t>
      </w:r>
    </w:p>
    <w:p w14:paraId="219F4CA3" w14:textId="77777777" w:rsidR="006F35F5" w:rsidRDefault="006F35F5" w:rsidP="006F35F5">
      <w:r>
        <w:t xml:space="preserve">PM </w:t>
      </w:r>
      <w:proofErr w:type="spellStart"/>
      <w:r>
        <w:t>gRNA</w:t>
      </w:r>
      <w:proofErr w:type="spellEnd"/>
      <w:r>
        <w:t xml:space="preserve"> ≈ 67 </w:t>
      </w:r>
      <w:proofErr w:type="spellStart"/>
      <w:r>
        <w:t>nt</w:t>
      </w:r>
      <w:proofErr w:type="spellEnd"/>
      <w:r>
        <w:t xml:space="preserve"> × 330 Da/</w:t>
      </w:r>
      <w:proofErr w:type="spellStart"/>
      <w:r>
        <w:t>nt</w:t>
      </w:r>
      <w:proofErr w:type="spellEnd"/>
      <w:r>
        <w:t xml:space="preserve"> = 22</w:t>
      </w:r>
      <w:r>
        <w:rPr>
          <w:rFonts w:ascii="Arial" w:hAnsi="Arial" w:cs="Arial"/>
        </w:rPr>
        <w:t> </w:t>
      </w:r>
      <w:r>
        <w:t xml:space="preserve">110 Da (~22,1 </w:t>
      </w:r>
      <w:proofErr w:type="spellStart"/>
      <w:r>
        <w:t>kDa</w:t>
      </w:r>
      <w:proofErr w:type="spellEnd"/>
      <w:r>
        <w:t>).</w:t>
      </w:r>
    </w:p>
    <w:p w14:paraId="774BBE1D" w14:textId="77777777" w:rsidR="006F35F5" w:rsidRDefault="006F35F5" w:rsidP="006F35F5">
      <w:r>
        <w:t xml:space="preserve">Nota: en el documento original se menciona “20 nucleótidos espaciadora, </w:t>
      </w:r>
      <w:proofErr w:type="spellStart"/>
      <w:r>
        <w:t>scaffold</w:t>
      </w:r>
      <w:proofErr w:type="spellEnd"/>
      <w:r>
        <w:t xml:space="preserve"> 42 </w:t>
      </w:r>
      <w:proofErr w:type="spellStart"/>
      <w:r>
        <w:t>nt</w:t>
      </w:r>
      <w:proofErr w:type="spellEnd"/>
      <w:r>
        <w:t xml:space="preserve">, etiqueta 5 </w:t>
      </w:r>
      <w:proofErr w:type="spellStart"/>
      <w:r>
        <w:t>nt</w:t>
      </w:r>
      <w:proofErr w:type="spellEnd"/>
      <w:r>
        <w:t xml:space="preserve">”, total 67 </w:t>
      </w:r>
      <w:proofErr w:type="spellStart"/>
      <w:r>
        <w:t>nt</w:t>
      </w:r>
      <w:proofErr w:type="spellEnd"/>
      <w:r>
        <w:t xml:space="preserve">. Con modificaciones, se aproxima a 22–23 </w:t>
      </w:r>
      <w:proofErr w:type="spellStart"/>
      <w:r>
        <w:t>kDa</w:t>
      </w:r>
      <w:proofErr w:type="spellEnd"/>
      <w:r>
        <w:t>.</w:t>
      </w:r>
    </w:p>
    <w:p w14:paraId="2FC94D05" w14:textId="77777777" w:rsidR="006F35F5" w:rsidRDefault="006F35F5" w:rsidP="006F35F5"/>
    <w:p w14:paraId="589C7907" w14:textId="77777777" w:rsidR="006F35F5" w:rsidRDefault="006F35F5" w:rsidP="006F35F5">
      <w:r>
        <w:t>2.2. Proteína Cas9 de alta fidelidad (evCas9)</w:t>
      </w:r>
    </w:p>
    <w:p w14:paraId="05DBF4F0" w14:textId="77777777" w:rsidR="006F35F5" w:rsidRDefault="006F35F5" w:rsidP="006F35F5"/>
    <w:p w14:paraId="6250442C" w14:textId="77777777" w:rsidR="006F35F5" w:rsidRDefault="006F35F5" w:rsidP="006F35F5">
      <w:r>
        <w:t xml:space="preserve">La proteína Cas9 de </w:t>
      </w:r>
      <w:proofErr w:type="spellStart"/>
      <w:r>
        <w:t>Streptococcus</w:t>
      </w:r>
      <w:proofErr w:type="spellEnd"/>
      <w:r>
        <w:t xml:space="preserve"> </w:t>
      </w:r>
      <w:proofErr w:type="spellStart"/>
      <w:r>
        <w:t>pyogenes</w:t>
      </w:r>
      <w:proofErr w:type="spellEnd"/>
      <w:r>
        <w:t xml:space="preserve"> con las mutaciones K848A/K1003A/R1060A (evCas9) tiene una masa molecular idéntica a la wild-</w:t>
      </w:r>
      <w:proofErr w:type="spellStart"/>
      <w:r>
        <w:t>type</w:t>
      </w:r>
      <w:proofErr w:type="spellEnd"/>
      <w:r>
        <w:t>, ya que las sustituciones son conservativas en masa.</w:t>
      </w:r>
    </w:p>
    <w:p w14:paraId="3C543389" w14:textId="77777777" w:rsidR="006F35F5" w:rsidRDefault="006F35F5" w:rsidP="006F35F5">
      <w:r>
        <w:t>PM Cas9 = 162</w:t>
      </w:r>
      <w:r>
        <w:rPr>
          <w:rFonts w:ascii="Arial" w:hAnsi="Arial" w:cs="Arial"/>
        </w:rPr>
        <w:t> </w:t>
      </w:r>
      <w:proofErr w:type="spellStart"/>
      <w:r>
        <w:t>kDa</w:t>
      </w:r>
      <w:proofErr w:type="spellEnd"/>
      <w:r>
        <w:t xml:space="preserve"> (valor estándar para SpCas9).</w:t>
      </w:r>
    </w:p>
    <w:p w14:paraId="0549E9A9" w14:textId="77777777" w:rsidR="006F35F5" w:rsidRDefault="006F35F5" w:rsidP="006F35F5"/>
    <w:p w14:paraId="7F95B888" w14:textId="77777777" w:rsidR="006F35F5" w:rsidRDefault="006F35F5" w:rsidP="006F35F5">
      <w:r>
        <w:t xml:space="preserve">2.3. Complejo </w:t>
      </w:r>
      <w:proofErr w:type="spellStart"/>
      <w:r>
        <w:t>ribonucleoproteico</w:t>
      </w:r>
      <w:proofErr w:type="spellEnd"/>
      <w:r>
        <w:t xml:space="preserve"> (RNP)</w:t>
      </w:r>
    </w:p>
    <w:p w14:paraId="2DD525D4" w14:textId="77777777" w:rsidR="006F35F5" w:rsidRDefault="006F35F5" w:rsidP="006F35F5"/>
    <w:p w14:paraId="6519098F" w14:textId="77777777" w:rsidR="006F35F5" w:rsidRDefault="006F35F5" w:rsidP="006F35F5">
      <w:r>
        <w:t>El complejo se ensambla en proporción molar 1:1,2 (Cas9:gRNA).</w:t>
      </w:r>
    </w:p>
    <w:p w14:paraId="0C90A119" w14:textId="77777777" w:rsidR="006F35F5" w:rsidRDefault="006F35F5" w:rsidP="006F35F5">
      <w:r>
        <w:t xml:space="preserve">PM RNP = PM Cas9 + PM </w:t>
      </w:r>
      <w:proofErr w:type="spellStart"/>
      <w:r>
        <w:t>gRNA</w:t>
      </w:r>
      <w:proofErr w:type="spellEnd"/>
      <w:r>
        <w:t xml:space="preserve"> = 162</w:t>
      </w:r>
      <w:r>
        <w:rPr>
          <w:rFonts w:ascii="Arial" w:hAnsi="Arial" w:cs="Arial"/>
        </w:rPr>
        <w:t> </w:t>
      </w:r>
      <w:proofErr w:type="spellStart"/>
      <w:r>
        <w:t>kDa</w:t>
      </w:r>
      <w:proofErr w:type="spellEnd"/>
      <w:r>
        <w:t xml:space="preserve"> + 22,1</w:t>
      </w:r>
      <w:r>
        <w:rPr>
          <w:rFonts w:ascii="Arial" w:hAnsi="Arial" w:cs="Arial"/>
        </w:rPr>
        <w:t> </w:t>
      </w:r>
      <w:proofErr w:type="spellStart"/>
      <w:r>
        <w:t>kDa</w:t>
      </w:r>
      <w:proofErr w:type="spellEnd"/>
      <w:r>
        <w:t xml:space="preserve"> = 184,1</w:t>
      </w:r>
      <w:r>
        <w:rPr>
          <w:rFonts w:ascii="Arial" w:hAnsi="Arial" w:cs="Arial"/>
        </w:rPr>
        <w:t> </w:t>
      </w:r>
      <w:proofErr w:type="spellStart"/>
      <w:r>
        <w:t>kDa</w:t>
      </w:r>
      <w:proofErr w:type="spellEnd"/>
      <w:r>
        <w:t>.</w:t>
      </w:r>
    </w:p>
    <w:p w14:paraId="2380F002" w14:textId="77777777" w:rsidR="006F35F5" w:rsidRDefault="006F35F5" w:rsidP="006F35F5">
      <w:r>
        <w:t>Nota: la relación molar no modifica el peso del complejo individual, solo asegura saturación.</w:t>
      </w:r>
    </w:p>
    <w:p w14:paraId="248451D9" w14:textId="77777777" w:rsidR="006F35F5" w:rsidRDefault="006F35F5" w:rsidP="006F35F5"/>
    <w:p w14:paraId="0344B280" w14:textId="77777777" w:rsidR="006F35F5" w:rsidRDefault="006F35F5" w:rsidP="006F35F5">
      <w:r>
        <w:t xml:space="preserve">2.4. Componentes lipídicos de las </w:t>
      </w:r>
      <w:proofErr w:type="spellStart"/>
      <w:r>
        <w:t>nanopartículas</w:t>
      </w:r>
      <w:proofErr w:type="spellEnd"/>
    </w:p>
    <w:p w14:paraId="7D80829B" w14:textId="77777777" w:rsidR="006F35F5" w:rsidRDefault="006F35F5" w:rsidP="006F35F5"/>
    <w:p w14:paraId="461F77A9" w14:textId="77777777" w:rsidR="006F35F5" w:rsidRDefault="006F35F5" w:rsidP="006F35F5">
      <w:r>
        <w:t>Lípido Fórmula / descripción PM (Da) Fracción molar en LNP</w:t>
      </w:r>
    </w:p>
    <w:p w14:paraId="403E68D5" w14:textId="77777777" w:rsidR="006F35F5" w:rsidRDefault="006F35F5" w:rsidP="006F35F5">
      <w:r>
        <w:t>DLin-MC3-DMA Lípido ionizable (C43H79NO5) 642,1 50</w:t>
      </w:r>
      <w:r>
        <w:rPr>
          <w:rFonts w:ascii="Arial" w:hAnsi="Arial" w:cs="Arial"/>
        </w:rPr>
        <w:t> </w:t>
      </w:r>
      <w:r>
        <w:t>mol%</w:t>
      </w:r>
    </w:p>
    <w:p w14:paraId="3548966F" w14:textId="77777777" w:rsidR="006F35F5" w:rsidRDefault="006F35F5" w:rsidP="006F35F5">
      <w:r>
        <w:t>DSPC (1,2-distearoil-sn-glicero-3-fosfocolina) C44H88NO8P 790,1 10</w:t>
      </w:r>
      <w:r>
        <w:rPr>
          <w:rFonts w:ascii="Arial" w:hAnsi="Arial" w:cs="Arial"/>
        </w:rPr>
        <w:t> </w:t>
      </w:r>
      <w:r>
        <w:t>mol%</w:t>
      </w:r>
    </w:p>
    <w:p w14:paraId="3CBFFF1C" w14:textId="77777777" w:rsidR="006F35F5" w:rsidRDefault="006F35F5" w:rsidP="006F35F5">
      <w:r>
        <w:t>Colesterol C27H46O 386,7 38,5</w:t>
      </w:r>
      <w:r>
        <w:rPr>
          <w:rFonts w:ascii="Arial" w:hAnsi="Arial" w:cs="Arial"/>
        </w:rPr>
        <w:t> </w:t>
      </w:r>
      <w:r>
        <w:t>mol%</w:t>
      </w:r>
    </w:p>
    <w:p w14:paraId="2CAAA665" w14:textId="77777777" w:rsidR="006F35F5" w:rsidRDefault="006F35F5" w:rsidP="006F35F5">
      <w:r>
        <w:t>DMG-PEG2000 1,2-dimiristoil-rac-glicero-3-metoxipolietilenglicol-2000 ~2500 1,5</w:t>
      </w:r>
      <w:r>
        <w:rPr>
          <w:rFonts w:ascii="Arial" w:hAnsi="Arial" w:cs="Arial"/>
        </w:rPr>
        <w:t> </w:t>
      </w:r>
      <w:r>
        <w:t>mol%</w:t>
      </w:r>
    </w:p>
    <w:p w14:paraId="29BE46A3" w14:textId="77777777" w:rsidR="006F35F5" w:rsidRDefault="006F35F5" w:rsidP="006F35F5">
      <w:r>
        <w:t xml:space="preserve">DSPE-2DG (análogo de glucosa) DSPE (748 Da) + 2-desoxi-D-glucosa (164 Da) + </w:t>
      </w:r>
      <w:proofErr w:type="spellStart"/>
      <w:r>
        <w:t>linker</w:t>
      </w:r>
      <w:proofErr w:type="spellEnd"/>
      <w:r>
        <w:t xml:space="preserve"> ~1100 1</w:t>
      </w:r>
      <w:r>
        <w:rPr>
          <w:rFonts w:ascii="Arial" w:hAnsi="Arial" w:cs="Arial"/>
        </w:rPr>
        <w:t> </w:t>
      </w:r>
      <w:r>
        <w:t>mol% adicional</w:t>
      </w:r>
    </w:p>
    <w:p w14:paraId="03A89BCF" w14:textId="77777777" w:rsidR="006F35F5" w:rsidRDefault="006F35F5" w:rsidP="006F35F5"/>
    <w:p w14:paraId="766DF756" w14:textId="77777777" w:rsidR="006F35F5" w:rsidRDefault="006F35F5" w:rsidP="006F35F5">
      <w:r>
        <w:t xml:space="preserve">Estos pesos son necesarios para calcular la masa total de lípidos por </w:t>
      </w:r>
      <w:proofErr w:type="spellStart"/>
      <w:r>
        <w:t>nanopartícula</w:t>
      </w:r>
      <w:proofErr w:type="spellEnd"/>
      <w:r>
        <w:t xml:space="preserve"> y la carga de RNP encapsulado.</w:t>
      </w:r>
    </w:p>
    <w:p w14:paraId="73B6A5B6" w14:textId="77777777" w:rsidR="006F35F5" w:rsidRDefault="006F35F5" w:rsidP="006F35F5"/>
    <w:p w14:paraId="4100208B" w14:textId="77777777" w:rsidR="006F35F5" w:rsidRDefault="006F35F5" w:rsidP="006F35F5">
      <w:r>
        <w:t>2.5. Componentes de direccionamiento celular</w:t>
      </w:r>
    </w:p>
    <w:p w14:paraId="3CED3DDA" w14:textId="77777777" w:rsidR="006F35F5" w:rsidRDefault="006F35F5" w:rsidP="006F35F5"/>
    <w:p w14:paraId="746AA75D" w14:textId="77777777" w:rsidR="006F35F5" w:rsidRDefault="006F35F5" w:rsidP="006F35F5">
      <w:r>
        <w:t xml:space="preserve">Molécula de </w:t>
      </w:r>
      <w:proofErr w:type="spellStart"/>
      <w:r>
        <w:t>targeting</w:t>
      </w:r>
      <w:proofErr w:type="spellEnd"/>
      <w:r>
        <w:t xml:space="preserve"> Descripción PM (</w:t>
      </w:r>
      <w:proofErr w:type="spellStart"/>
      <w:r>
        <w:t>kDa</w:t>
      </w:r>
      <w:proofErr w:type="spellEnd"/>
      <w:r>
        <w:t>)</w:t>
      </w:r>
    </w:p>
    <w:p w14:paraId="3AA38C74" w14:textId="77777777" w:rsidR="006F35F5" w:rsidRDefault="006F35F5" w:rsidP="006F35F5">
      <w:r>
        <w:t>Péptido derivado de SDF-1 22 aminoácidos (fragmento activo para CXCR4) ~2,5</w:t>
      </w:r>
    </w:p>
    <w:p w14:paraId="2F5006BF" w14:textId="77777777" w:rsidR="006F35F5" w:rsidRDefault="006F35F5" w:rsidP="006F35F5">
      <w:r>
        <w:t xml:space="preserve">Fragmento </w:t>
      </w:r>
      <w:proofErr w:type="spellStart"/>
      <w:r>
        <w:t>Fab</w:t>
      </w:r>
      <w:proofErr w:type="spellEnd"/>
      <w:r>
        <w:t xml:space="preserve"> anti-CD4 Fragmento monovalente de anticuerpo ~50</w:t>
      </w:r>
    </w:p>
    <w:p w14:paraId="2C1FA79A" w14:textId="77777777" w:rsidR="006F35F5" w:rsidRDefault="006F35F5" w:rsidP="006F35F5">
      <w:r>
        <w:t xml:space="preserve">Péptido de penetración </w:t>
      </w:r>
      <w:proofErr w:type="spellStart"/>
      <w:r>
        <w:t>Tat</w:t>
      </w:r>
      <w:proofErr w:type="spellEnd"/>
      <w:r>
        <w:t xml:space="preserve"> Secuencia GRKKRRQRRRPQ (11 </w:t>
      </w:r>
      <w:proofErr w:type="spellStart"/>
      <w:r>
        <w:t>aa</w:t>
      </w:r>
      <w:proofErr w:type="spellEnd"/>
      <w:r>
        <w:t>) ~1,6</w:t>
      </w:r>
    </w:p>
    <w:p w14:paraId="556D8D18" w14:textId="77777777" w:rsidR="006F35F5" w:rsidRDefault="006F35F5" w:rsidP="006F35F5">
      <w:proofErr w:type="spellStart"/>
      <w:r>
        <w:t>Aptámero</w:t>
      </w:r>
      <w:proofErr w:type="spellEnd"/>
      <w:r>
        <w:t xml:space="preserve"> de importación nuclear Oligonucleótido que imita una NLS ~5</w:t>
      </w:r>
    </w:p>
    <w:p w14:paraId="66CABCDD" w14:textId="77777777" w:rsidR="006F35F5" w:rsidRDefault="006F35F5" w:rsidP="006F35F5"/>
    <w:p w14:paraId="0ABC60C0" w14:textId="77777777" w:rsidR="006F35F5" w:rsidRDefault="006F35F5" w:rsidP="006F35F5">
      <w:r>
        <w:t xml:space="preserve">Estos </w:t>
      </w:r>
      <w:proofErr w:type="spellStart"/>
      <w:r>
        <w:t>ligandos</w:t>
      </w:r>
      <w:proofErr w:type="spellEnd"/>
      <w:r>
        <w:t xml:space="preserve"> se conjugan en la superficie de la LNP o se incorporan durante la formulación.</w:t>
      </w:r>
    </w:p>
    <w:p w14:paraId="77D85FE4" w14:textId="77777777" w:rsidR="006F35F5" w:rsidRDefault="006F35F5" w:rsidP="006F35F5"/>
    <w:p w14:paraId="42E3AC3B" w14:textId="77777777" w:rsidR="006F35F5" w:rsidRDefault="006F35F5" w:rsidP="006F35F5">
      <w:r>
        <w:t>---</w:t>
      </w:r>
    </w:p>
    <w:p w14:paraId="33533DC2" w14:textId="77777777" w:rsidR="006F35F5" w:rsidRDefault="006F35F5" w:rsidP="006F35F5"/>
    <w:p w14:paraId="1B750BA7" w14:textId="77777777" w:rsidR="006F35F5" w:rsidRDefault="006F35F5" w:rsidP="006F35F5">
      <w:r>
        <w:t>3. Constantes de acoplamiento (afinidades y unión)</w:t>
      </w:r>
    </w:p>
    <w:p w14:paraId="744CC6C7" w14:textId="77777777" w:rsidR="006F35F5" w:rsidRDefault="006F35F5" w:rsidP="006F35F5"/>
    <w:p w14:paraId="4072BA94" w14:textId="77777777" w:rsidR="006F35F5" w:rsidRDefault="006F35F5" w:rsidP="006F35F5">
      <w:r>
        <w:t>Las constantes de afinidad determinan la eficiencia de reconocimiento celular, internalización y procesamiento intracelular.</w:t>
      </w:r>
    </w:p>
    <w:p w14:paraId="0C6C8407" w14:textId="77777777" w:rsidR="006F35F5" w:rsidRDefault="006F35F5" w:rsidP="006F35F5"/>
    <w:p w14:paraId="3A11C63A" w14:textId="77777777" w:rsidR="006F35F5" w:rsidRDefault="006F35F5" w:rsidP="006F35F5">
      <w:r>
        <w:t>3.1. Reconocimiento de células diana</w:t>
      </w:r>
    </w:p>
    <w:p w14:paraId="56EE7610" w14:textId="77777777" w:rsidR="006F35F5" w:rsidRDefault="006F35F5" w:rsidP="006F35F5"/>
    <w:p w14:paraId="1534193C" w14:textId="77777777" w:rsidR="006F35F5" w:rsidRDefault="006F35F5" w:rsidP="006F35F5">
      <w:r>
        <w:t>Interacción Constante (</w:t>
      </w:r>
      <w:proofErr w:type="spellStart"/>
      <w:r>
        <w:t>Kd</w:t>
      </w:r>
      <w:proofErr w:type="spellEnd"/>
      <w:r>
        <w:t>) Explicación</w:t>
      </w:r>
    </w:p>
    <w:p w14:paraId="0AB8C8F9" w14:textId="77777777" w:rsidR="006F35F5" w:rsidRDefault="006F35F5" w:rsidP="006F35F5">
      <w:r>
        <w:t>GLUT1 – análogo de glucosa (2-DG) 2,3</w:t>
      </w:r>
      <w:r>
        <w:rPr>
          <w:rFonts w:ascii="Arial" w:hAnsi="Arial" w:cs="Arial"/>
        </w:rPr>
        <w:t> </w:t>
      </w:r>
      <w:proofErr w:type="spellStart"/>
      <w:r>
        <w:t>μM</w:t>
      </w:r>
      <w:proofErr w:type="spellEnd"/>
      <w:r>
        <w:t xml:space="preserve"> Valor extraído directamente del documento. Representa la afinidad de la 2-desoxiglucosa conjugada al lípido DSPE por el transportador GLUT1, muy expresado en linfocitos y células infectadas.</w:t>
      </w:r>
    </w:p>
    <w:p w14:paraId="6E02B871" w14:textId="77777777" w:rsidR="006F35F5" w:rsidRDefault="006F35F5" w:rsidP="006F35F5">
      <w:r>
        <w:t>CXCR4 – péptido derivado de SDF-1 10</w:t>
      </w:r>
      <w:r>
        <w:rPr>
          <w:rFonts w:ascii="Arial" w:hAnsi="Arial" w:cs="Arial"/>
        </w:rPr>
        <w:t> </w:t>
      </w:r>
      <w:proofErr w:type="spellStart"/>
      <w:r>
        <w:t>nM</w:t>
      </w:r>
      <w:proofErr w:type="spellEnd"/>
      <w:r>
        <w:t xml:space="preserve"> Basado en la afinidad natural del ligando SDF-1 (CXCL12) por su receptor CXCR4, que está en el rango 1–20</w:t>
      </w:r>
      <w:r>
        <w:rPr>
          <w:rFonts w:ascii="Arial" w:hAnsi="Arial" w:cs="Arial"/>
        </w:rPr>
        <w:t> </w:t>
      </w:r>
      <w:proofErr w:type="spellStart"/>
      <w:r>
        <w:t>nM</w:t>
      </w:r>
      <w:proofErr w:type="spellEnd"/>
      <w:r>
        <w:t>. El péptido sintético conserva una alta afinidad.</w:t>
      </w:r>
    </w:p>
    <w:p w14:paraId="796ACBE5" w14:textId="77777777" w:rsidR="006F35F5" w:rsidRDefault="006F35F5" w:rsidP="006F35F5">
      <w:r>
        <w:t xml:space="preserve">CD4 – fragmento </w:t>
      </w:r>
      <w:proofErr w:type="spellStart"/>
      <w:r>
        <w:t>Fab</w:t>
      </w:r>
      <w:proofErr w:type="spellEnd"/>
      <w:r>
        <w:t xml:space="preserve"> anti-CD4 5</w:t>
      </w:r>
      <w:r>
        <w:rPr>
          <w:rFonts w:ascii="Arial" w:hAnsi="Arial" w:cs="Arial"/>
        </w:rPr>
        <w:t> </w:t>
      </w:r>
      <w:proofErr w:type="spellStart"/>
      <w:r>
        <w:t>nM</w:t>
      </w:r>
      <w:proofErr w:type="spellEnd"/>
      <w:r>
        <w:t xml:space="preserve"> Típica de anticuerpos monoclonales de alta afinidad contra CD4. Permite el direccionamiento específico a linfocitos T CD4+, principales reservorios del VIH.</w:t>
      </w:r>
    </w:p>
    <w:p w14:paraId="111D1258" w14:textId="77777777" w:rsidR="006F35F5" w:rsidRDefault="006F35F5" w:rsidP="006F35F5">
      <w:r>
        <w:t xml:space="preserve">Péptido </w:t>
      </w:r>
      <w:proofErr w:type="spellStart"/>
      <w:r>
        <w:t>Tat</w:t>
      </w:r>
      <w:proofErr w:type="spellEnd"/>
      <w:r>
        <w:t xml:space="preserve"> – membrana celular ~1</w:t>
      </w:r>
      <w:r>
        <w:rPr>
          <w:rFonts w:ascii="Arial" w:hAnsi="Arial" w:cs="Arial"/>
        </w:rPr>
        <w:t> </w:t>
      </w:r>
      <w:proofErr w:type="spellStart"/>
      <w:r>
        <w:t>μM</w:t>
      </w:r>
      <w:proofErr w:type="spellEnd"/>
      <w:r>
        <w:t xml:space="preserve"> Unión inespecífica pero eficaz para promover la penetración celular mediante interacción con </w:t>
      </w:r>
      <w:proofErr w:type="spellStart"/>
      <w:r>
        <w:t>heparán</w:t>
      </w:r>
      <w:proofErr w:type="spellEnd"/>
      <w:r>
        <w:t xml:space="preserve"> sulfato y otras cargas de membrana.</w:t>
      </w:r>
    </w:p>
    <w:p w14:paraId="23558114" w14:textId="77777777" w:rsidR="006F35F5" w:rsidRDefault="006F35F5" w:rsidP="006F35F5"/>
    <w:p w14:paraId="22459E34" w14:textId="77777777" w:rsidR="006F35F5" w:rsidRDefault="006F35F5" w:rsidP="006F35F5">
      <w:r>
        <w:t>3.2. Procesamiento intracelular</w:t>
      </w:r>
    </w:p>
    <w:p w14:paraId="63D304BC" w14:textId="77777777" w:rsidR="006F35F5" w:rsidRDefault="006F35F5" w:rsidP="006F35F5"/>
    <w:p w14:paraId="316983F4" w14:textId="77777777" w:rsidR="006F35F5" w:rsidRDefault="006F35F5" w:rsidP="006F35F5">
      <w:r>
        <w:t>Proceso Constante / valor Explicación</w:t>
      </w:r>
    </w:p>
    <w:p w14:paraId="37F7F172" w14:textId="77777777" w:rsidR="006F35F5" w:rsidRDefault="006F35F5" w:rsidP="006F35F5">
      <w:r>
        <w:t>Importación nuclear (</w:t>
      </w:r>
      <w:proofErr w:type="spellStart"/>
      <w:r>
        <w:t>aptámero-importina</w:t>
      </w:r>
      <w:proofErr w:type="spellEnd"/>
      <w:r>
        <w:t xml:space="preserve"> α) </w:t>
      </w:r>
      <w:proofErr w:type="spellStart"/>
      <w:r>
        <w:t>Kd</w:t>
      </w:r>
      <w:proofErr w:type="spellEnd"/>
      <w:r>
        <w:t xml:space="preserve"> = 80</w:t>
      </w:r>
      <w:r>
        <w:rPr>
          <w:rFonts w:ascii="Arial" w:hAnsi="Arial" w:cs="Arial"/>
        </w:rPr>
        <w:t> </w:t>
      </w:r>
      <w:proofErr w:type="spellStart"/>
      <w:r>
        <w:t>nM</w:t>
      </w:r>
      <w:proofErr w:type="spellEnd"/>
      <w:r>
        <w:t xml:space="preserve"> El </w:t>
      </w:r>
      <w:proofErr w:type="spellStart"/>
      <w:r>
        <w:t>aptámero</w:t>
      </w:r>
      <w:proofErr w:type="spellEnd"/>
      <w:r>
        <w:t xml:space="preserve"> imita una señal de localización nuclear bipartita; la afinidad por </w:t>
      </w:r>
      <w:proofErr w:type="spellStart"/>
      <w:r>
        <w:t>importina</w:t>
      </w:r>
      <w:proofErr w:type="spellEnd"/>
      <w:r>
        <w:t xml:space="preserve"> α está en el rango de decenas de </w:t>
      </w:r>
      <w:proofErr w:type="spellStart"/>
      <w:r>
        <w:t>nanomolar</w:t>
      </w:r>
      <w:proofErr w:type="spellEnd"/>
      <w:r>
        <w:t>, comparable a NLS naturales.</w:t>
      </w:r>
    </w:p>
    <w:p w14:paraId="3DF67908" w14:textId="77777777" w:rsidR="006F35F5" w:rsidRDefault="006F35F5" w:rsidP="006F35F5">
      <w:r>
        <w:t xml:space="preserve">Unión del complejo RNP al ADN diana </w:t>
      </w:r>
      <w:proofErr w:type="spellStart"/>
      <w:r>
        <w:t>Kd</w:t>
      </w:r>
      <w:proofErr w:type="spellEnd"/>
      <w:r>
        <w:t xml:space="preserve"> = 0,5</w:t>
      </w:r>
      <w:r>
        <w:rPr>
          <w:rFonts w:ascii="Arial" w:hAnsi="Arial" w:cs="Arial"/>
        </w:rPr>
        <w:t> </w:t>
      </w:r>
      <w:proofErr w:type="spellStart"/>
      <w:r>
        <w:t>nM</w:t>
      </w:r>
      <w:proofErr w:type="spellEnd"/>
      <w:r>
        <w:t xml:space="preserve"> Una vez formado el R-</w:t>
      </w:r>
      <w:proofErr w:type="spellStart"/>
      <w:r>
        <w:t>loop</w:t>
      </w:r>
      <w:proofErr w:type="spellEnd"/>
      <w:r>
        <w:t>, la afinidad del complejo Cas9-gRNA por la secuencia diana es extremadamente alta, con valores típicos entre 0,1 y 1</w:t>
      </w:r>
      <w:r>
        <w:rPr>
          <w:rFonts w:ascii="Arial" w:hAnsi="Arial" w:cs="Arial"/>
        </w:rPr>
        <w:t> </w:t>
      </w:r>
      <w:proofErr w:type="spellStart"/>
      <w:r>
        <w:t>nM</w:t>
      </w:r>
      <w:proofErr w:type="spellEnd"/>
      <w:r>
        <w:t>.</w:t>
      </w:r>
    </w:p>
    <w:p w14:paraId="338E00D9" w14:textId="77777777" w:rsidR="006F35F5" w:rsidRDefault="006F35F5" w:rsidP="006F35F5">
      <w:r>
        <w:t>Formación del R-</w:t>
      </w:r>
      <w:proofErr w:type="spellStart"/>
      <w:r>
        <w:t>loop</w:t>
      </w:r>
      <w:proofErr w:type="spellEnd"/>
      <w:r>
        <w:t xml:space="preserve"> t1/2 = 2,3</w:t>
      </w:r>
      <w:r>
        <w:rPr>
          <w:rFonts w:ascii="Arial" w:hAnsi="Arial" w:cs="Arial"/>
        </w:rPr>
        <w:t> </w:t>
      </w:r>
      <w:r>
        <w:t>s Constante de tiempo para el reconocimiento y desnaturalización local del ADN, proporcionada en el documento.</w:t>
      </w:r>
    </w:p>
    <w:p w14:paraId="69C34F9C" w14:textId="77777777" w:rsidR="006F35F5" w:rsidRDefault="006F35F5" w:rsidP="006F35F5"/>
    <w:p w14:paraId="04D1F828" w14:textId="77777777" w:rsidR="006F35F5" w:rsidRDefault="006F35F5" w:rsidP="006F35F5">
      <w:r>
        <w:t>3.3. Interacciones específicas con el virus (VIH)</w:t>
      </w:r>
    </w:p>
    <w:p w14:paraId="0629B9E7" w14:textId="77777777" w:rsidR="006F35F5" w:rsidRDefault="006F35F5" w:rsidP="006F35F5"/>
    <w:p w14:paraId="09CD7C35" w14:textId="77777777" w:rsidR="006F35F5" w:rsidRDefault="006F35F5" w:rsidP="006F35F5">
      <w:r>
        <w:t>Interacción Constante (</w:t>
      </w:r>
      <w:proofErr w:type="spellStart"/>
      <w:r>
        <w:t>Kd</w:t>
      </w:r>
      <w:proofErr w:type="spellEnd"/>
      <w:r>
        <w:t>) Explicación</w:t>
      </w:r>
    </w:p>
    <w:p w14:paraId="2B22B3F4" w14:textId="77777777" w:rsidR="006F35F5" w:rsidRDefault="006F35F5" w:rsidP="006F35F5">
      <w:proofErr w:type="spellStart"/>
      <w:r>
        <w:t>Ciclofilina</w:t>
      </w:r>
      <w:proofErr w:type="spellEnd"/>
      <w:r>
        <w:t xml:space="preserve"> A – </w:t>
      </w:r>
      <w:proofErr w:type="spellStart"/>
      <w:r>
        <w:t>cápside</w:t>
      </w:r>
      <w:proofErr w:type="spellEnd"/>
      <w:r>
        <w:t xml:space="preserve"> VIH (p24) 1,2</w:t>
      </w:r>
      <w:r>
        <w:rPr>
          <w:rFonts w:ascii="Arial" w:hAnsi="Arial" w:cs="Arial"/>
        </w:rPr>
        <w:t> </w:t>
      </w:r>
      <w:proofErr w:type="spellStart"/>
      <w:r>
        <w:t>μM</w:t>
      </w:r>
      <w:proofErr w:type="spellEnd"/>
      <w:r>
        <w:t xml:space="preserve"> Valor de referencia bibliográfica para la unión entre </w:t>
      </w:r>
      <w:proofErr w:type="spellStart"/>
      <w:r>
        <w:t>CypA</w:t>
      </w:r>
      <w:proofErr w:type="spellEnd"/>
      <w:r>
        <w:t xml:space="preserve"> humana y la proteína de la </w:t>
      </w:r>
      <w:proofErr w:type="spellStart"/>
      <w:r>
        <w:t>cápside</w:t>
      </w:r>
      <w:proofErr w:type="spellEnd"/>
      <w:r>
        <w:t xml:space="preserve"> del VIH. Se utiliza como parte del mecanismo de </w:t>
      </w:r>
      <w:proofErr w:type="spellStart"/>
      <w:r>
        <w:t>targeting</w:t>
      </w:r>
      <w:proofErr w:type="spellEnd"/>
      <w:r>
        <w:t xml:space="preserve"> al </w:t>
      </w:r>
      <w:proofErr w:type="spellStart"/>
      <w:r>
        <w:t>virión</w:t>
      </w:r>
      <w:proofErr w:type="spellEnd"/>
      <w:r>
        <w:t>.</w:t>
      </w:r>
    </w:p>
    <w:p w14:paraId="6D5E620B" w14:textId="77777777" w:rsidR="006F35F5" w:rsidRDefault="006F35F5" w:rsidP="006F35F5"/>
    <w:p w14:paraId="58E427FF" w14:textId="77777777" w:rsidR="006F35F5" w:rsidRDefault="006F35F5" w:rsidP="006F35F5">
      <w:r>
        <w:t>---</w:t>
      </w:r>
    </w:p>
    <w:p w14:paraId="43DF3FF9" w14:textId="77777777" w:rsidR="006F35F5" w:rsidRDefault="006F35F5" w:rsidP="006F35F5"/>
    <w:p w14:paraId="66A6013B" w14:textId="77777777" w:rsidR="006F35F5" w:rsidRDefault="006F35F5" w:rsidP="006F35F5">
      <w:r>
        <w:t>4. Constantes cinéticas y farmacocinéticas</w:t>
      </w:r>
    </w:p>
    <w:p w14:paraId="098A231B" w14:textId="77777777" w:rsidR="006F35F5" w:rsidRDefault="006F35F5" w:rsidP="006F35F5"/>
    <w:p w14:paraId="13718127" w14:textId="77777777" w:rsidR="006F35F5" w:rsidRDefault="006F35F5" w:rsidP="006F35F5">
      <w:r>
        <w:t>Estas constantes describen la velocidad de los procesos de distribución, internalización y acción.</w:t>
      </w:r>
    </w:p>
    <w:p w14:paraId="04746D71" w14:textId="77777777" w:rsidR="006F35F5" w:rsidRDefault="006F35F5" w:rsidP="006F35F5"/>
    <w:p w14:paraId="01974B57" w14:textId="77777777" w:rsidR="006F35F5" w:rsidRDefault="006F35F5" w:rsidP="006F35F5">
      <w:r>
        <w:t>4.1. Farmacocinética sistémica de las LNP</w:t>
      </w:r>
    </w:p>
    <w:p w14:paraId="2432006E" w14:textId="77777777" w:rsidR="006F35F5" w:rsidRDefault="006F35F5" w:rsidP="006F35F5"/>
    <w:p w14:paraId="2D473BCD" w14:textId="77777777" w:rsidR="006F35F5" w:rsidRDefault="006F35F5" w:rsidP="006F35F5">
      <w:r>
        <w:t>Parámetro Valor Explicación</w:t>
      </w:r>
    </w:p>
    <w:p w14:paraId="20CE0386" w14:textId="77777777" w:rsidR="006F35F5" w:rsidRDefault="006F35F5" w:rsidP="006F35F5">
      <w:r>
        <w:t>Vida media en circulación 18,5</w:t>
      </w:r>
      <w:r>
        <w:rPr>
          <w:rFonts w:ascii="Arial" w:hAnsi="Arial" w:cs="Arial"/>
        </w:rPr>
        <w:t> </w:t>
      </w:r>
      <w:r>
        <w:t xml:space="preserve">h Según el documento, gracias a la </w:t>
      </w:r>
      <w:proofErr w:type="spellStart"/>
      <w:r>
        <w:t>PEGilación</w:t>
      </w:r>
      <w:proofErr w:type="spellEnd"/>
      <w:r>
        <w:t xml:space="preserve"> y al tamaño optimizado. Permite una exposición prolongada.</w:t>
      </w:r>
    </w:p>
    <w:p w14:paraId="1A69F7EC" w14:textId="77777777" w:rsidR="006F35F5" w:rsidRDefault="006F35F5" w:rsidP="006F35F5">
      <w:r>
        <w:t>Acumulación en bazo 35</w:t>
      </w:r>
      <w:r>
        <w:rPr>
          <w:rFonts w:ascii="Arial" w:hAnsi="Arial" w:cs="Arial"/>
        </w:rPr>
        <w:t> </w:t>
      </w:r>
      <w:r>
        <w:t>% de la dosis Máxima acumulación en tejido linfoide, deseable para atacar reservorios.</w:t>
      </w:r>
    </w:p>
    <w:p w14:paraId="6E58D875" w14:textId="77777777" w:rsidR="006F35F5" w:rsidRDefault="006F35F5" w:rsidP="006F35F5">
      <w:r>
        <w:t>Acumulación en ganglios linfáticos 25</w:t>
      </w:r>
      <w:r>
        <w:rPr>
          <w:rFonts w:ascii="Arial" w:hAnsi="Arial" w:cs="Arial"/>
        </w:rPr>
        <w:t> </w:t>
      </w:r>
      <w:r>
        <w:t>% Segundo órgano linfoide principal.</w:t>
      </w:r>
    </w:p>
    <w:p w14:paraId="61750024" w14:textId="77777777" w:rsidR="006F35F5" w:rsidRDefault="006F35F5" w:rsidP="006F35F5">
      <w:r>
        <w:t>Acumulación en médula ósea 15</w:t>
      </w:r>
      <w:r>
        <w:rPr>
          <w:rFonts w:ascii="Arial" w:hAnsi="Arial" w:cs="Arial"/>
        </w:rPr>
        <w:t> </w:t>
      </w:r>
      <w:r>
        <w:t>% Importante para erradicar células madre infectadas latentes.</w:t>
      </w:r>
    </w:p>
    <w:p w14:paraId="6093626E" w14:textId="77777777" w:rsidR="006F35F5" w:rsidRDefault="006F35F5" w:rsidP="006F35F5">
      <w:r>
        <w:t>Acumulación en tracto gastrointestinal 8</w:t>
      </w:r>
      <w:r>
        <w:rPr>
          <w:rFonts w:ascii="Arial" w:hAnsi="Arial" w:cs="Arial"/>
        </w:rPr>
        <w:t> </w:t>
      </w:r>
      <w:r>
        <w:t>% Reservorio secundario.</w:t>
      </w:r>
    </w:p>
    <w:p w14:paraId="113411BF" w14:textId="77777777" w:rsidR="006F35F5" w:rsidRDefault="006F35F5" w:rsidP="006F35F5">
      <w:r>
        <w:t>Acumulación en SNC 2</w:t>
      </w:r>
      <w:r>
        <w:rPr>
          <w:rFonts w:ascii="Arial" w:hAnsi="Arial" w:cs="Arial"/>
        </w:rPr>
        <w:t> </w:t>
      </w:r>
      <w:r>
        <w:t xml:space="preserve">% Penetración a través de la barrera </w:t>
      </w:r>
      <w:proofErr w:type="spellStart"/>
      <w:r>
        <w:t>hematoencefálica</w:t>
      </w:r>
      <w:proofErr w:type="spellEnd"/>
      <w:r>
        <w:t xml:space="preserve"> mediante transporte activo.</w:t>
      </w:r>
    </w:p>
    <w:p w14:paraId="15998290" w14:textId="77777777" w:rsidR="006F35F5" w:rsidRDefault="006F35F5" w:rsidP="006F35F5"/>
    <w:p w14:paraId="3D328E4D" w14:textId="77777777" w:rsidR="006F35F5" w:rsidRDefault="006F35F5" w:rsidP="006F35F5">
      <w:r>
        <w:t>4.2. Cinética de internalización y procesamiento</w:t>
      </w:r>
    </w:p>
    <w:p w14:paraId="5789FE75" w14:textId="77777777" w:rsidR="006F35F5" w:rsidRDefault="006F35F5" w:rsidP="006F35F5"/>
    <w:p w14:paraId="63F3AA37" w14:textId="77777777" w:rsidR="006F35F5" w:rsidRDefault="006F35F5" w:rsidP="006F35F5">
      <w:r>
        <w:t>Proceso Tiempo característico Explicación</w:t>
      </w:r>
    </w:p>
    <w:p w14:paraId="15D5E669" w14:textId="77777777" w:rsidR="006F35F5" w:rsidRDefault="006F35F5" w:rsidP="006F35F5">
      <w:r>
        <w:t xml:space="preserve">Endocitosis mediada por </w:t>
      </w:r>
      <w:proofErr w:type="spellStart"/>
      <w:r>
        <w:t>clatrina</w:t>
      </w:r>
      <w:proofErr w:type="spellEnd"/>
      <w:r>
        <w:t xml:space="preserve"> 2–4</w:t>
      </w:r>
      <w:r>
        <w:rPr>
          <w:rFonts w:ascii="Arial" w:hAnsi="Arial" w:cs="Arial"/>
        </w:rPr>
        <w:t> </w:t>
      </w:r>
      <w:r>
        <w:t>min Internalización completa tras unión a receptores de superficie.</w:t>
      </w:r>
    </w:p>
    <w:p w14:paraId="49F5093C" w14:textId="77777777" w:rsidR="006F35F5" w:rsidRDefault="006F35F5" w:rsidP="006F35F5">
      <w:r>
        <w:t xml:space="preserve">Acidificación </w:t>
      </w:r>
      <w:proofErr w:type="spellStart"/>
      <w:r>
        <w:t>endosomal</w:t>
      </w:r>
      <w:proofErr w:type="spellEnd"/>
      <w:r>
        <w:t xml:space="preserve"> (pH 7,4 → 5,5) 8–12</w:t>
      </w:r>
      <w:r>
        <w:rPr>
          <w:rFonts w:ascii="Arial" w:hAnsi="Arial" w:cs="Arial"/>
        </w:rPr>
        <w:t> </w:t>
      </w:r>
      <w:r>
        <w:t xml:space="preserve">min Desencadena la fusión del lípido ionizable con la membrana </w:t>
      </w:r>
      <w:proofErr w:type="spellStart"/>
      <w:r>
        <w:t>endosomal</w:t>
      </w:r>
      <w:proofErr w:type="spellEnd"/>
      <w:r>
        <w:t>.</w:t>
      </w:r>
    </w:p>
    <w:p w14:paraId="58701A63" w14:textId="77777777" w:rsidR="006F35F5" w:rsidRDefault="006F35F5" w:rsidP="006F35F5">
      <w:r>
        <w:t>Liberación del RNP al citoplasma 15–20</w:t>
      </w:r>
      <w:r>
        <w:rPr>
          <w:rFonts w:ascii="Arial" w:hAnsi="Arial" w:cs="Arial"/>
        </w:rPr>
        <w:t> </w:t>
      </w:r>
      <w:r>
        <w:t xml:space="preserve">min Tiempo post-internalización en que el complejo escapa del </w:t>
      </w:r>
      <w:proofErr w:type="spellStart"/>
      <w:r>
        <w:t>endosoma</w:t>
      </w:r>
      <w:proofErr w:type="spellEnd"/>
      <w:r>
        <w:t>.</w:t>
      </w:r>
    </w:p>
    <w:p w14:paraId="5FB12EC4" w14:textId="77777777" w:rsidR="006F35F5" w:rsidRDefault="006F35F5" w:rsidP="006F35F5">
      <w:r>
        <w:t>Importación nuclear total (desde liberación) 45–60</w:t>
      </w:r>
      <w:r>
        <w:rPr>
          <w:rFonts w:ascii="Arial" w:hAnsi="Arial" w:cs="Arial"/>
        </w:rPr>
        <w:t> </w:t>
      </w:r>
      <w:r>
        <w:t>min Incluye transporte hasta el núcleo y entrada a través de poros nucleares.</w:t>
      </w:r>
    </w:p>
    <w:p w14:paraId="2B5BF723" w14:textId="77777777" w:rsidR="006F35F5" w:rsidRDefault="006F35F5" w:rsidP="006F35F5">
      <w:r>
        <w:t xml:space="preserve">Corte del ADN por Cas9 (velocidad catalítica) </w:t>
      </w:r>
      <w:proofErr w:type="spellStart"/>
      <w:r>
        <w:t>kcat</w:t>
      </w:r>
      <w:proofErr w:type="spellEnd"/>
      <w:r>
        <w:t xml:space="preserve"> ≈ 0,3</w:t>
      </w:r>
      <w:r>
        <w:rPr>
          <w:rFonts w:ascii="Arial" w:hAnsi="Arial" w:cs="Arial"/>
        </w:rPr>
        <w:t> </w:t>
      </w:r>
      <w:r>
        <w:t>s</w:t>
      </w:r>
      <w:r>
        <w:rPr>
          <w:rFonts w:ascii="Roboto" w:hAnsi="Roboto" w:cs="Roboto"/>
        </w:rPr>
        <w:t>⁻</w:t>
      </w:r>
      <w:r>
        <w:t>¹ Velocidad de formación del corte de doble cadena una vez unido al ADN.</w:t>
      </w:r>
    </w:p>
    <w:p w14:paraId="0224BCB4" w14:textId="77777777" w:rsidR="006F35F5" w:rsidRDefault="006F35F5" w:rsidP="006F35F5"/>
    <w:p w14:paraId="566807B3" w14:textId="77777777" w:rsidR="006F35F5" w:rsidRDefault="006F35F5" w:rsidP="006F35F5">
      <w:r>
        <w:t xml:space="preserve">4.3. Reparación del ADN y eliminación del </w:t>
      </w:r>
      <w:proofErr w:type="spellStart"/>
      <w:r>
        <w:t>provirus</w:t>
      </w:r>
      <w:proofErr w:type="spellEnd"/>
    </w:p>
    <w:p w14:paraId="6FFC54B7" w14:textId="77777777" w:rsidR="006F35F5" w:rsidRDefault="006F35F5" w:rsidP="006F35F5"/>
    <w:p w14:paraId="3E4AD689" w14:textId="77777777" w:rsidR="006F35F5" w:rsidRDefault="006F35F5" w:rsidP="006F35F5">
      <w:r>
        <w:t>Vía de reparación Frecuencia Explicación</w:t>
      </w:r>
    </w:p>
    <w:p w14:paraId="58150888" w14:textId="77777777" w:rsidR="006F35F5" w:rsidRDefault="006F35F5" w:rsidP="006F35F5">
      <w:r>
        <w:t>Unión de extremos no homólogos (NHEJ) 90</w:t>
      </w:r>
      <w:r>
        <w:rPr>
          <w:rFonts w:ascii="Arial" w:hAnsi="Arial" w:cs="Arial"/>
        </w:rPr>
        <w:t> </w:t>
      </w:r>
      <w:r>
        <w:t xml:space="preserve">% Vía predominante en células no divididas, produce </w:t>
      </w:r>
      <w:proofErr w:type="spellStart"/>
      <w:r>
        <w:t>indeles</w:t>
      </w:r>
      <w:proofErr w:type="spellEnd"/>
      <w:r>
        <w:t xml:space="preserve"> que inactivan el </w:t>
      </w:r>
      <w:proofErr w:type="spellStart"/>
      <w:r>
        <w:t>provirus</w:t>
      </w:r>
      <w:proofErr w:type="spellEnd"/>
      <w:r>
        <w:t>.</w:t>
      </w:r>
    </w:p>
    <w:p w14:paraId="39F51D2D" w14:textId="77777777" w:rsidR="006F35F5" w:rsidRDefault="006F35F5" w:rsidP="006F35F5">
      <w:r>
        <w:t>Reparación dirigida por homología (HDR) 10</w:t>
      </w:r>
      <w:r>
        <w:rPr>
          <w:rFonts w:ascii="Arial" w:hAnsi="Arial" w:cs="Arial"/>
        </w:rPr>
        <w:t> </w:t>
      </w:r>
      <w:r>
        <w:t>% Ocurre cuando hay una plantilla de reparación presente, puede usarse para corrección precisa.</w:t>
      </w:r>
    </w:p>
    <w:p w14:paraId="0B6D240A" w14:textId="77777777" w:rsidR="006F35F5" w:rsidRDefault="006F35F5" w:rsidP="006F35F5"/>
    <w:p w14:paraId="750C3B31" w14:textId="77777777" w:rsidR="006F35F5" w:rsidRDefault="006F35F5" w:rsidP="006F35F5">
      <w:r>
        <w:t>---</w:t>
      </w:r>
    </w:p>
    <w:p w14:paraId="7147C367" w14:textId="77777777" w:rsidR="006F35F5" w:rsidRDefault="006F35F5" w:rsidP="006F35F5"/>
    <w:p w14:paraId="69204951" w14:textId="77777777" w:rsidR="006F35F5" w:rsidRDefault="006F35F5" w:rsidP="006F35F5">
      <w:r>
        <w:t>5. Parámetros de formulación y dosificación</w:t>
      </w:r>
    </w:p>
    <w:p w14:paraId="16A98EDB" w14:textId="77777777" w:rsidR="006F35F5" w:rsidRDefault="006F35F5" w:rsidP="006F35F5"/>
    <w:p w14:paraId="01DA26A7" w14:textId="77777777" w:rsidR="006F35F5" w:rsidRDefault="006F35F5" w:rsidP="006F35F5">
      <w:r>
        <w:t>Estos valores son necesarios para la manufactura y la administración clínica.</w:t>
      </w:r>
    </w:p>
    <w:p w14:paraId="290985E6" w14:textId="77777777" w:rsidR="006F35F5" w:rsidRDefault="006F35F5" w:rsidP="006F35F5"/>
    <w:p w14:paraId="6D6288FE" w14:textId="77777777" w:rsidR="006F35F5" w:rsidRDefault="006F35F5" w:rsidP="006F35F5">
      <w:r>
        <w:t>Parámetro Valor Explicación</w:t>
      </w:r>
    </w:p>
    <w:p w14:paraId="782E7134" w14:textId="77777777" w:rsidR="006F35F5" w:rsidRDefault="006F35F5" w:rsidP="006F35F5">
      <w:r>
        <w:t xml:space="preserve">Proporción molar Cas9:gRNA 1 : 1,2 Asegura que todo el </w:t>
      </w:r>
      <w:proofErr w:type="spellStart"/>
      <w:r>
        <w:t>gRNA</w:t>
      </w:r>
      <w:proofErr w:type="spellEnd"/>
      <w:r>
        <w:t xml:space="preserve"> esté unido a Cas9.</w:t>
      </w:r>
    </w:p>
    <w:p w14:paraId="28B9DEB0" w14:textId="77777777" w:rsidR="006F35F5" w:rsidRDefault="006F35F5" w:rsidP="006F35F5">
      <w:r>
        <w:t>Tampón de ensamblaje RNP 20</w:t>
      </w:r>
      <w:r>
        <w:rPr>
          <w:rFonts w:ascii="Arial" w:hAnsi="Arial" w:cs="Arial"/>
        </w:rPr>
        <w:t> </w:t>
      </w:r>
      <w:r>
        <w:t>mM HEPES pH 7,5; 150</w:t>
      </w:r>
      <w:r>
        <w:rPr>
          <w:rFonts w:ascii="Arial" w:hAnsi="Arial" w:cs="Arial"/>
        </w:rPr>
        <w:t> </w:t>
      </w:r>
      <w:r>
        <w:t xml:space="preserve">mM </w:t>
      </w:r>
      <w:proofErr w:type="spellStart"/>
      <w:r>
        <w:t>KCl</w:t>
      </w:r>
      <w:proofErr w:type="spellEnd"/>
      <w:r>
        <w:t>; 5</w:t>
      </w:r>
      <w:r>
        <w:rPr>
          <w:rFonts w:ascii="Arial" w:hAnsi="Arial" w:cs="Arial"/>
        </w:rPr>
        <w:t> </w:t>
      </w:r>
      <w:r>
        <w:t>mM MgCl2; 1</w:t>
      </w:r>
      <w:r>
        <w:rPr>
          <w:rFonts w:ascii="Arial" w:hAnsi="Arial" w:cs="Arial"/>
        </w:rPr>
        <w:t> </w:t>
      </w:r>
      <w:r>
        <w:t>mM DTT Condiciones óptimas para estabilidad y actividad.</w:t>
      </w:r>
    </w:p>
    <w:p w14:paraId="7DA0D715" w14:textId="77777777" w:rsidR="006F35F5" w:rsidRDefault="006F35F5" w:rsidP="006F35F5">
      <w:r>
        <w:t>Composición lipídica (mol%) DLin-MC3-DMA 50%, DSPC 10%, colesterol 38,5%, DMG-PEG2000 1,5% Formulación estándar de LNP para entrega de ARN, modificada con 1% adicional de DSPE-2DG.</w:t>
      </w:r>
    </w:p>
    <w:p w14:paraId="1E6835F8" w14:textId="77777777" w:rsidR="006F35F5" w:rsidRDefault="006F35F5" w:rsidP="006F35F5">
      <w:r>
        <w:t xml:space="preserve">Tamaño de </w:t>
      </w:r>
      <w:proofErr w:type="spellStart"/>
      <w:r>
        <w:t>nanopartícula</w:t>
      </w:r>
      <w:proofErr w:type="spellEnd"/>
      <w:r>
        <w:t xml:space="preserve"> 80–120</w:t>
      </w:r>
      <w:r>
        <w:rPr>
          <w:rFonts w:ascii="Arial" w:hAnsi="Arial" w:cs="Arial"/>
        </w:rPr>
        <w:t> </w:t>
      </w:r>
      <w:proofErr w:type="spellStart"/>
      <w:r>
        <w:t>nm</w:t>
      </w:r>
      <w:proofErr w:type="spellEnd"/>
      <w:r>
        <w:t xml:space="preserve"> Medido por DLS (dispersión dinámica de luz) y NTA (análisis de seguimiento de </w:t>
      </w:r>
      <w:proofErr w:type="spellStart"/>
      <w:r>
        <w:t>nanopartículas</w:t>
      </w:r>
      <w:proofErr w:type="spellEnd"/>
      <w:r>
        <w:t>).</w:t>
      </w:r>
    </w:p>
    <w:p w14:paraId="1EEB2FF5" w14:textId="77777777" w:rsidR="006F35F5" w:rsidRDefault="006F35F5" w:rsidP="006F35F5">
      <w:r>
        <w:t>Dosis terapéutica 0,5</w:t>
      </w:r>
      <w:r>
        <w:rPr>
          <w:rFonts w:ascii="Arial" w:hAnsi="Arial" w:cs="Arial"/>
        </w:rPr>
        <w:t> </w:t>
      </w:r>
      <w:r>
        <w:t>mg/kg Expresada como mg de RNP total por kg de peso corporal.</w:t>
      </w:r>
    </w:p>
    <w:p w14:paraId="3F9B7AB5" w14:textId="77777777" w:rsidR="006F35F5" w:rsidRDefault="006F35F5" w:rsidP="006F35F5">
      <w:r>
        <w:t>Régimen de administración Días 0, 28 y 56 Tres infusiones intravenosas separadas por 4 semanas.</w:t>
      </w:r>
    </w:p>
    <w:p w14:paraId="4ABF4E24" w14:textId="77777777" w:rsidR="006F35F5" w:rsidRDefault="006F35F5" w:rsidP="006F35F5">
      <w:r>
        <w:t>Infusión 60</w:t>
      </w:r>
      <w:r>
        <w:rPr>
          <w:rFonts w:ascii="Arial" w:hAnsi="Arial" w:cs="Arial"/>
        </w:rPr>
        <w:t> </w:t>
      </w:r>
      <w:r>
        <w:t>min, velocidad constante Previene reacciones adversas por liberación rápida.</w:t>
      </w:r>
    </w:p>
    <w:p w14:paraId="2825937F" w14:textId="77777777" w:rsidR="006F35F5" w:rsidRDefault="006F35F5" w:rsidP="006F35F5"/>
    <w:p w14:paraId="44982F80" w14:textId="77777777" w:rsidR="006F35F5" w:rsidRDefault="006F35F5" w:rsidP="006F35F5">
      <w:r>
        <w:t>---</w:t>
      </w:r>
    </w:p>
    <w:p w14:paraId="1D631C77" w14:textId="77777777" w:rsidR="006F35F5" w:rsidRDefault="006F35F5" w:rsidP="006F35F5"/>
    <w:p w14:paraId="7E47C855" w14:textId="77777777" w:rsidR="006F35F5" w:rsidRDefault="006F35F5" w:rsidP="006F35F5">
      <w:r>
        <w:t>6. Constantes específicas para adaptaciones a otros virus y cáncer</w:t>
      </w:r>
    </w:p>
    <w:p w14:paraId="22DD738B" w14:textId="77777777" w:rsidR="006F35F5" w:rsidRDefault="006F35F5" w:rsidP="006F35F5"/>
    <w:p w14:paraId="24A66F58" w14:textId="77777777" w:rsidR="006F35F5" w:rsidRDefault="006F35F5" w:rsidP="006F35F5">
      <w:r>
        <w:t>6.1. Hepatitis B (HBV)</w:t>
      </w:r>
    </w:p>
    <w:p w14:paraId="200A4043" w14:textId="77777777" w:rsidR="006F35F5" w:rsidRDefault="006F35F5" w:rsidP="006F35F5"/>
    <w:p w14:paraId="44501425" w14:textId="77777777" w:rsidR="006F35F5" w:rsidRDefault="006F35F5" w:rsidP="006F35F5">
      <w:r>
        <w:t>Componente / parámetro Valor / constante Explicación</w:t>
      </w:r>
    </w:p>
    <w:p w14:paraId="4F21A60F" w14:textId="77777777" w:rsidR="006F35F5" w:rsidRDefault="006F35F5" w:rsidP="006F35F5">
      <w:r>
        <w:t xml:space="preserve">Diana molecular en </w:t>
      </w:r>
      <w:proofErr w:type="spellStart"/>
      <w:r>
        <w:t>cccDNA</w:t>
      </w:r>
      <w:proofErr w:type="spellEnd"/>
      <w:r>
        <w:t xml:space="preserve"> Región </w:t>
      </w:r>
      <w:proofErr w:type="spellStart"/>
      <w:r>
        <w:t>epsilon</w:t>
      </w:r>
      <w:proofErr w:type="spellEnd"/>
      <w:r>
        <w:t xml:space="preserve"> del ARN </w:t>
      </w:r>
      <w:proofErr w:type="spellStart"/>
      <w:r>
        <w:t>pregenómico</w:t>
      </w:r>
      <w:proofErr w:type="spellEnd"/>
      <w:r>
        <w:t>; dominio RT de la polimerasa Secuencias altamente conservadas.</w:t>
      </w:r>
    </w:p>
    <w:p w14:paraId="58EC6663" w14:textId="77777777" w:rsidR="006F35F5" w:rsidRDefault="006F35F5" w:rsidP="006F35F5">
      <w:r>
        <w:t xml:space="preserve">Ligando de </w:t>
      </w:r>
      <w:proofErr w:type="spellStart"/>
      <w:r>
        <w:t>targeting</w:t>
      </w:r>
      <w:proofErr w:type="spellEnd"/>
      <w:r>
        <w:t xml:space="preserve"> a hepatocitos </w:t>
      </w:r>
      <w:proofErr w:type="spellStart"/>
      <w:r>
        <w:t>GalNAc</w:t>
      </w:r>
      <w:proofErr w:type="spellEnd"/>
      <w:r>
        <w:t xml:space="preserve"> (N-</w:t>
      </w:r>
      <w:proofErr w:type="spellStart"/>
      <w:r>
        <w:t>acetilgalactosamina</w:t>
      </w:r>
      <w:proofErr w:type="spellEnd"/>
      <w:r>
        <w:t xml:space="preserve">) </w:t>
      </w:r>
      <w:proofErr w:type="spellStart"/>
      <w:r>
        <w:t>Kd</w:t>
      </w:r>
      <w:proofErr w:type="spellEnd"/>
      <w:r>
        <w:t xml:space="preserve"> para el receptor </w:t>
      </w:r>
      <w:proofErr w:type="spellStart"/>
      <w:r>
        <w:t>asialoglicoproteína</w:t>
      </w:r>
      <w:proofErr w:type="spellEnd"/>
      <w:r>
        <w:t xml:space="preserve"> ≈ 2</w:t>
      </w:r>
      <w:r>
        <w:rPr>
          <w:rFonts w:ascii="Arial" w:hAnsi="Arial" w:cs="Arial"/>
        </w:rPr>
        <w:t> </w:t>
      </w:r>
      <w:proofErr w:type="spellStart"/>
      <w:r>
        <w:t>nM</w:t>
      </w:r>
      <w:proofErr w:type="spellEnd"/>
      <w:r>
        <w:t>.</w:t>
      </w:r>
    </w:p>
    <w:p w14:paraId="0020D51C" w14:textId="77777777" w:rsidR="006F35F5" w:rsidRDefault="006F35F5" w:rsidP="006F35F5">
      <w:r>
        <w:t>Acumulación hepática 65</w:t>
      </w:r>
      <w:r>
        <w:rPr>
          <w:rFonts w:ascii="Arial" w:hAnsi="Arial" w:cs="Arial"/>
        </w:rPr>
        <w:t> </w:t>
      </w:r>
      <w:r>
        <w:t xml:space="preserve">% de la dosis Gracias al ligando </w:t>
      </w:r>
      <w:proofErr w:type="spellStart"/>
      <w:r>
        <w:t>GalNAc</w:t>
      </w:r>
      <w:proofErr w:type="spellEnd"/>
      <w:r>
        <w:t>.</w:t>
      </w:r>
    </w:p>
    <w:p w14:paraId="069C514B" w14:textId="77777777" w:rsidR="006F35F5" w:rsidRDefault="006F35F5" w:rsidP="006F35F5"/>
    <w:p w14:paraId="35E74D9D" w14:textId="77777777" w:rsidR="006F35F5" w:rsidRDefault="006F35F5" w:rsidP="006F35F5">
      <w:r>
        <w:t xml:space="preserve">6.2. </w:t>
      </w:r>
      <w:proofErr w:type="spellStart"/>
      <w:r>
        <w:t>Herpesvirus</w:t>
      </w:r>
      <w:proofErr w:type="spellEnd"/>
      <w:r>
        <w:t xml:space="preserve"> (HSV-1, EBV)</w:t>
      </w:r>
    </w:p>
    <w:p w14:paraId="05995E0F" w14:textId="77777777" w:rsidR="006F35F5" w:rsidRDefault="006F35F5" w:rsidP="006F35F5"/>
    <w:p w14:paraId="67BA26DC" w14:textId="77777777" w:rsidR="006F35F5" w:rsidRDefault="006F35F5" w:rsidP="006F35F5">
      <w:r>
        <w:t>Parámetro Valor Explicación</w:t>
      </w:r>
    </w:p>
    <w:p w14:paraId="6B71B5B6" w14:textId="77777777" w:rsidR="006F35F5" w:rsidRDefault="006F35F5" w:rsidP="006F35F5">
      <w:r>
        <w:t>Dianas en HSV-1 Gen LAT (latencia) Región conservada en neuronas infectadas.</w:t>
      </w:r>
    </w:p>
    <w:p w14:paraId="045507A0" w14:textId="77777777" w:rsidR="006F35F5" w:rsidRDefault="006F35F5" w:rsidP="006F35F5">
      <w:r>
        <w:t xml:space="preserve">Dianas en EBV Origen de replicación </w:t>
      </w:r>
      <w:proofErr w:type="spellStart"/>
      <w:r>
        <w:t>oriP</w:t>
      </w:r>
      <w:proofErr w:type="spellEnd"/>
      <w:r>
        <w:t xml:space="preserve"> Esencial para mantenimiento </w:t>
      </w:r>
      <w:proofErr w:type="spellStart"/>
      <w:r>
        <w:t>episomal</w:t>
      </w:r>
      <w:proofErr w:type="spellEnd"/>
      <w:r>
        <w:t>.</w:t>
      </w:r>
    </w:p>
    <w:p w14:paraId="4D122605" w14:textId="77777777" w:rsidR="006F35F5" w:rsidRDefault="006F35F5" w:rsidP="006F35F5">
      <w:r>
        <w:t xml:space="preserve">Atravieso de barrera </w:t>
      </w:r>
      <w:proofErr w:type="spellStart"/>
      <w:r>
        <w:t>hematoencefálica</w:t>
      </w:r>
      <w:proofErr w:type="spellEnd"/>
      <w:r>
        <w:t xml:space="preserve"> Conjugación con </w:t>
      </w:r>
      <w:proofErr w:type="spellStart"/>
      <w:r>
        <w:t>transferrina</w:t>
      </w:r>
      <w:proofErr w:type="spellEnd"/>
      <w:r>
        <w:t xml:space="preserve"> </w:t>
      </w:r>
      <w:proofErr w:type="spellStart"/>
      <w:r>
        <w:t>Kd</w:t>
      </w:r>
      <w:proofErr w:type="spellEnd"/>
      <w:r>
        <w:t xml:space="preserve"> para receptor de </w:t>
      </w:r>
      <w:proofErr w:type="spellStart"/>
      <w:r>
        <w:t>transferrina</w:t>
      </w:r>
      <w:proofErr w:type="spellEnd"/>
      <w:r>
        <w:t xml:space="preserve"> ≈ 10</w:t>
      </w:r>
      <w:r>
        <w:rPr>
          <w:rFonts w:ascii="Arial" w:hAnsi="Arial" w:cs="Arial"/>
        </w:rPr>
        <w:t> </w:t>
      </w:r>
      <w:proofErr w:type="spellStart"/>
      <w:r>
        <w:t>nM</w:t>
      </w:r>
      <w:proofErr w:type="spellEnd"/>
      <w:r>
        <w:t>.</w:t>
      </w:r>
    </w:p>
    <w:p w14:paraId="4C495DB1" w14:textId="77777777" w:rsidR="006F35F5" w:rsidRDefault="006F35F5" w:rsidP="006F35F5">
      <w:r>
        <w:t xml:space="preserve">Administración </w:t>
      </w:r>
      <w:proofErr w:type="spellStart"/>
      <w:r>
        <w:t>Intratecal</w:t>
      </w:r>
      <w:proofErr w:type="spellEnd"/>
      <w:r>
        <w:t xml:space="preserve"> para infecciones del SNC Ruta alternativa para alcanzar neuronas.</w:t>
      </w:r>
    </w:p>
    <w:p w14:paraId="359C1AE8" w14:textId="77777777" w:rsidR="006F35F5" w:rsidRDefault="006F35F5" w:rsidP="006F35F5"/>
    <w:p w14:paraId="40C0F452" w14:textId="77777777" w:rsidR="006F35F5" w:rsidRDefault="006F35F5" w:rsidP="006F35F5">
      <w:r>
        <w:t>6.3. Influenza</w:t>
      </w:r>
    </w:p>
    <w:p w14:paraId="4569D6EA" w14:textId="77777777" w:rsidR="006F35F5" w:rsidRDefault="006F35F5" w:rsidP="006F35F5"/>
    <w:p w14:paraId="0866A2C8" w14:textId="77777777" w:rsidR="006F35F5" w:rsidRDefault="006F35F5" w:rsidP="006F35F5">
      <w:r>
        <w:t>Parámetro Valor Explicación</w:t>
      </w:r>
    </w:p>
    <w:p w14:paraId="647F88FA" w14:textId="77777777" w:rsidR="006F35F5" w:rsidRDefault="006F35F5" w:rsidP="006F35F5">
      <w:r>
        <w:t>Dianas conservadas Nucleoproteína (residuos 1–15); dominio M1 de la matriz Altamente conservadas entre cepas.</w:t>
      </w:r>
    </w:p>
    <w:p w14:paraId="0BB6D31D" w14:textId="77777777" w:rsidR="006F35F5" w:rsidRDefault="006F35F5" w:rsidP="006F35F5">
      <w:r>
        <w:t>Tamaño de LNP para aerosol 150</w:t>
      </w:r>
      <w:r>
        <w:rPr>
          <w:rFonts w:ascii="Arial" w:hAnsi="Arial" w:cs="Arial"/>
        </w:rPr>
        <w:t> </w:t>
      </w:r>
      <w:proofErr w:type="spellStart"/>
      <w:r>
        <w:t>nm</w:t>
      </w:r>
      <w:proofErr w:type="spellEnd"/>
      <w:r>
        <w:t xml:space="preserve"> Optimizado para deposición en alvéolos.</w:t>
      </w:r>
    </w:p>
    <w:p w14:paraId="7FCDAF69" w14:textId="77777777" w:rsidR="006F35F5" w:rsidRDefault="006F35F5" w:rsidP="006F35F5">
      <w:r>
        <w:t>Administración Nebulización / aerosol Llega directamente al epitelio respiratorio.</w:t>
      </w:r>
    </w:p>
    <w:p w14:paraId="10CF51F9" w14:textId="77777777" w:rsidR="006F35F5" w:rsidRDefault="006F35F5" w:rsidP="006F35F5"/>
    <w:p w14:paraId="7C8876A0" w14:textId="77777777" w:rsidR="006F35F5" w:rsidRDefault="006F35F5" w:rsidP="006F35F5">
      <w:r>
        <w:t>6.4. Cáncer (ejemplos seleccionados)</w:t>
      </w:r>
    </w:p>
    <w:p w14:paraId="1A3BC8AC" w14:textId="77777777" w:rsidR="006F35F5" w:rsidRDefault="006F35F5" w:rsidP="006F35F5"/>
    <w:p w14:paraId="028E1B5F" w14:textId="77777777" w:rsidR="006F35F5" w:rsidRDefault="006F35F5" w:rsidP="006F35F5">
      <w:r>
        <w:t>Diana genética Constante / parámetro Explicación</w:t>
      </w:r>
    </w:p>
    <w:p w14:paraId="20BCB76C" w14:textId="77777777" w:rsidR="006F35F5" w:rsidRDefault="006F35F5" w:rsidP="006F35F5">
      <w:r>
        <w:t xml:space="preserve">KRAS G12C </w:t>
      </w:r>
      <w:proofErr w:type="spellStart"/>
      <w:r>
        <w:t>gRNA</w:t>
      </w:r>
      <w:proofErr w:type="spellEnd"/>
      <w:r>
        <w:t xml:space="preserve"> específica para </w:t>
      </w:r>
      <w:proofErr w:type="spellStart"/>
      <w:r>
        <w:t>transversión</w:t>
      </w:r>
      <w:proofErr w:type="spellEnd"/>
      <w:r>
        <w:t xml:space="preserve"> G→T Diseño con especificidad &gt;99% frente a alelo wild-</w:t>
      </w:r>
      <w:proofErr w:type="spellStart"/>
      <w:r>
        <w:t>type</w:t>
      </w:r>
      <w:proofErr w:type="spellEnd"/>
      <w:r>
        <w:t>.</w:t>
      </w:r>
    </w:p>
    <w:p w14:paraId="02D56EA6" w14:textId="77777777" w:rsidR="006F35F5" w:rsidRDefault="006F35F5" w:rsidP="006F35F5">
      <w:r>
        <w:t>BCR-ABL (fusión) Distancia entre sitios de corte: 50–100</w:t>
      </w:r>
      <w:r>
        <w:rPr>
          <w:rFonts w:ascii="Arial" w:hAnsi="Arial" w:cs="Arial"/>
        </w:rPr>
        <w:t> </w:t>
      </w:r>
      <w:proofErr w:type="spellStart"/>
      <w:r>
        <w:t>nt</w:t>
      </w:r>
      <w:proofErr w:type="spellEnd"/>
      <w:r>
        <w:t xml:space="preserve"> Uso de dos </w:t>
      </w:r>
      <w:proofErr w:type="spellStart"/>
      <w:r>
        <w:t>gRNAs</w:t>
      </w:r>
      <w:proofErr w:type="spellEnd"/>
      <w:r>
        <w:t xml:space="preserve"> </w:t>
      </w:r>
      <w:proofErr w:type="spellStart"/>
      <w:r>
        <w:t>flanqueantes</w:t>
      </w:r>
      <w:proofErr w:type="spellEnd"/>
      <w:r>
        <w:t xml:space="preserve"> para eliminar el punto de fusión.</w:t>
      </w:r>
    </w:p>
    <w:p w14:paraId="51029A90" w14:textId="77777777" w:rsidR="006F35F5" w:rsidRDefault="006F35F5" w:rsidP="006F35F5">
      <w:r>
        <w:t>TP53 (corrección por HDR) Eficiencia HDR en células tumorales: 10–20% Depende de la presencia de plantilla donadora y del ciclo celular.</w:t>
      </w:r>
    </w:p>
    <w:p w14:paraId="6BF0725C" w14:textId="77777777" w:rsidR="006F35F5" w:rsidRDefault="006F35F5" w:rsidP="006F35F5">
      <w:r>
        <w:t>PD-L1 (CD274) Eficiencia de eliminación &gt;85</w:t>
      </w:r>
      <w:r>
        <w:rPr>
          <w:rFonts w:ascii="Arial" w:hAnsi="Arial" w:cs="Arial"/>
        </w:rPr>
        <w:t> </w:t>
      </w:r>
      <w:r>
        <w:t>% En modelos preclínicos con edición génica.</w:t>
      </w:r>
    </w:p>
    <w:p w14:paraId="0260216C" w14:textId="77777777" w:rsidR="006F35F5" w:rsidRDefault="006F35F5" w:rsidP="006F35F5"/>
    <w:p w14:paraId="3CEED239" w14:textId="77777777" w:rsidR="006F35F5" w:rsidRDefault="006F35F5" w:rsidP="006F35F5">
      <w:r>
        <w:t>---</w:t>
      </w:r>
    </w:p>
    <w:p w14:paraId="3103B212" w14:textId="77777777" w:rsidR="006F35F5" w:rsidRDefault="006F35F5" w:rsidP="006F35F5"/>
    <w:p w14:paraId="75D33374" w14:textId="77777777" w:rsidR="006F35F5" w:rsidRDefault="006F35F5" w:rsidP="006F35F5">
      <w:r>
        <w:t>7. Constantes de seguridad, calidad y control</w:t>
      </w:r>
    </w:p>
    <w:p w14:paraId="4269DDF4" w14:textId="77777777" w:rsidR="006F35F5" w:rsidRDefault="006F35F5" w:rsidP="006F35F5"/>
    <w:p w14:paraId="7274BA5F" w14:textId="77777777" w:rsidR="006F35F5" w:rsidRDefault="006F35F5" w:rsidP="006F35F5">
      <w:r>
        <w:t>Para cumplir con estándares regulatorios, se deben definir límites y valores de referencia.</w:t>
      </w:r>
    </w:p>
    <w:p w14:paraId="031EBB76" w14:textId="77777777" w:rsidR="006F35F5" w:rsidRDefault="006F35F5" w:rsidP="006F35F5"/>
    <w:p w14:paraId="4D0A558A" w14:textId="77777777" w:rsidR="006F35F5" w:rsidRDefault="006F35F5" w:rsidP="006F35F5">
      <w:r>
        <w:t>Parámetro Valor aceptable Método de medición</w:t>
      </w:r>
    </w:p>
    <w:p w14:paraId="20806767" w14:textId="77777777" w:rsidR="006F35F5" w:rsidRDefault="006F35F5" w:rsidP="006F35F5">
      <w:r>
        <w:t>Efectos off-target &lt;0,1</w:t>
      </w:r>
      <w:r>
        <w:rPr>
          <w:rFonts w:ascii="Arial" w:hAnsi="Arial" w:cs="Arial"/>
        </w:rPr>
        <w:t> </w:t>
      </w:r>
      <w:r>
        <w:t>% de sitios predichos CIRCLE-</w:t>
      </w:r>
      <w:proofErr w:type="spellStart"/>
      <w:r>
        <w:t>seq</w:t>
      </w:r>
      <w:proofErr w:type="spellEnd"/>
      <w:r>
        <w:t>, GUIDE-</w:t>
      </w:r>
      <w:proofErr w:type="spellStart"/>
      <w:r>
        <w:t>seq</w:t>
      </w:r>
      <w:proofErr w:type="spellEnd"/>
    </w:p>
    <w:p w14:paraId="790BA3D8" w14:textId="77777777" w:rsidR="006F35F5" w:rsidRDefault="006F35F5" w:rsidP="006F35F5">
      <w:r>
        <w:t>Integración genómica de Cas9 &lt;0,01</w:t>
      </w:r>
      <w:r>
        <w:rPr>
          <w:rFonts w:ascii="Arial" w:hAnsi="Arial" w:cs="Arial"/>
        </w:rPr>
        <w:t> </w:t>
      </w:r>
      <w:r>
        <w:t>% de células LAM-PCR (PCR de amplificación mediada por ligación lineal)</w:t>
      </w:r>
    </w:p>
    <w:p w14:paraId="4E9995F8" w14:textId="77777777" w:rsidR="006F35F5" w:rsidRDefault="006F35F5" w:rsidP="006F35F5">
      <w:r>
        <w:t>Respuesta inmune humoral anti-Cas9 Títulos &lt;1:1000 ELISA</w:t>
      </w:r>
    </w:p>
    <w:p w14:paraId="751B38B6" w14:textId="77777777" w:rsidR="006F35F5" w:rsidRDefault="006F35F5" w:rsidP="006F35F5">
      <w:r>
        <w:t xml:space="preserve">Respuesta inmune celular No proliferación significativa de linfocitos T </w:t>
      </w:r>
      <w:proofErr w:type="spellStart"/>
      <w:r>
        <w:t>ELISpot</w:t>
      </w:r>
      <w:proofErr w:type="spellEnd"/>
      <w:r>
        <w:t xml:space="preserve">, </w:t>
      </w:r>
      <w:proofErr w:type="spellStart"/>
      <w:r>
        <w:t>citometría</w:t>
      </w:r>
      <w:proofErr w:type="spellEnd"/>
      <w:r>
        <w:t xml:space="preserve"> de flujo</w:t>
      </w:r>
    </w:p>
    <w:p w14:paraId="305B945B" w14:textId="77777777" w:rsidR="006F35F5" w:rsidRDefault="006F35F5" w:rsidP="006F35F5">
      <w:r>
        <w:t>Endotoxinas (en formulación final) &lt;0,5</w:t>
      </w:r>
      <w:r>
        <w:rPr>
          <w:rFonts w:ascii="Arial" w:hAnsi="Arial" w:cs="Arial"/>
        </w:rPr>
        <w:t> </w:t>
      </w:r>
      <w:r>
        <w:t xml:space="preserve">UE/mL Ensayo de </w:t>
      </w:r>
      <w:proofErr w:type="spellStart"/>
      <w:r>
        <w:t>limulus</w:t>
      </w:r>
      <w:proofErr w:type="spellEnd"/>
      <w:r>
        <w:t xml:space="preserve"> </w:t>
      </w:r>
      <w:proofErr w:type="spellStart"/>
      <w:r>
        <w:t>amebocito</w:t>
      </w:r>
      <w:proofErr w:type="spellEnd"/>
      <w:r>
        <w:t xml:space="preserve"> lisado (LAL)</w:t>
      </w:r>
    </w:p>
    <w:p w14:paraId="445732D0" w14:textId="77777777" w:rsidR="006F35F5" w:rsidRDefault="006F35F5" w:rsidP="006F35F5">
      <w:r>
        <w:t xml:space="preserve">Esterilidad Sin crecimiento microbiano Pruebas </w:t>
      </w:r>
      <w:proofErr w:type="spellStart"/>
      <w:r>
        <w:t>farmacopeicas</w:t>
      </w:r>
      <w:proofErr w:type="spellEnd"/>
    </w:p>
    <w:p w14:paraId="6045218A" w14:textId="77777777" w:rsidR="006F35F5" w:rsidRDefault="006F35F5" w:rsidP="006F35F5">
      <w:r>
        <w:t>Potencia biológica Eficiencia de corte ≥80</w:t>
      </w:r>
      <w:r>
        <w:rPr>
          <w:rFonts w:ascii="Arial" w:hAnsi="Arial" w:cs="Arial"/>
        </w:rPr>
        <w:t> </w:t>
      </w:r>
      <w:r>
        <w:t>% en células diana Ensayo de edición in vitro (T7E1, secuenciación)</w:t>
      </w:r>
    </w:p>
    <w:p w14:paraId="57248C04" w14:textId="77777777" w:rsidR="006F35F5" w:rsidRDefault="006F35F5" w:rsidP="006F35F5"/>
    <w:p w14:paraId="301C49F9" w14:textId="77777777" w:rsidR="006F35F5" w:rsidRDefault="006F35F5" w:rsidP="006F35F5">
      <w:r>
        <w:t>---</w:t>
      </w:r>
    </w:p>
    <w:p w14:paraId="484EAB1A" w14:textId="77777777" w:rsidR="006F35F5" w:rsidRDefault="006F35F5" w:rsidP="006F35F5"/>
    <w:p w14:paraId="0D06CF87" w14:textId="77777777" w:rsidR="006F35F5" w:rsidRDefault="006F35F5" w:rsidP="006F35F5">
      <w:r>
        <w:t>8. Tabla resumen de constantes fundamentales</w:t>
      </w:r>
    </w:p>
    <w:p w14:paraId="595421AB" w14:textId="77777777" w:rsidR="006F35F5" w:rsidRDefault="006F35F5" w:rsidP="006F35F5"/>
    <w:p w14:paraId="0B9C7CBC" w14:textId="77777777" w:rsidR="006F35F5" w:rsidRDefault="006F35F5" w:rsidP="006F35F5">
      <w:r>
        <w:t>A modo de referencia rápida, se agrupan las constantes más relevantes:</w:t>
      </w:r>
    </w:p>
    <w:p w14:paraId="0D69E316" w14:textId="77777777" w:rsidR="006F35F5" w:rsidRDefault="006F35F5" w:rsidP="006F35F5"/>
    <w:p w14:paraId="32396B9B" w14:textId="77777777" w:rsidR="006F35F5" w:rsidRDefault="006F35F5" w:rsidP="006F35F5">
      <w:r>
        <w:t>Tipo Constante Valor Unidad</w:t>
      </w:r>
    </w:p>
    <w:p w14:paraId="5FE1DE04" w14:textId="77777777" w:rsidR="006F35F5" w:rsidRDefault="006F35F5" w:rsidP="006F35F5">
      <w:r>
        <w:t xml:space="preserve">PM </w:t>
      </w:r>
      <w:proofErr w:type="spellStart"/>
      <w:r>
        <w:t>gRNA</w:t>
      </w:r>
      <w:proofErr w:type="spellEnd"/>
      <w:r>
        <w:t xml:space="preserve"> 22,1 </w:t>
      </w:r>
      <w:proofErr w:type="spellStart"/>
      <w:r>
        <w:t>kDa</w:t>
      </w:r>
      <w:proofErr w:type="spellEnd"/>
    </w:p>
    <w:p w14:paraId="770F2EF2" w14:textId="77777777" w:rsidR="006F35F5" w:rsidRDefault="006F35F5" w:rsidP="006F35F5">
      <w:r>
        <w:t xml:space="preserve">PM Cas9 162 </w:t>
      </w:r>
      <w:proofErr w:type="spellStart"/>
      <w:r>
        <w:t>kDa</w:t>
      </w:r>
      <w:proofErr w:type="spellEnd"/>
    </w:p>
    <w:p w14:paraId="1C88DE8C" w14:textId="77777777" w:rsidR="006F35F5" w:rsidRDefault="006F35F5" w:rsidP="006F35F5">
      <w:r>
        <w:t xml:space="preserve">PM RNP 184,1 </w:t>
      </w:r>
      <w:proofErr w:type="spellStart"/>
      <w:r>
        <w:t>kDa</w:t>
      </w:r>
      <w:proofErr w:type="spellEnd"/>
    </w:p>
    <w:p w14:paraId="49CE523D" w14:textId="77777777" w:rsidR="006F35F5" w:rsidRDefault="006F35F5" w:rsidP="006F35F5">
      <w:r>
        <w:t xml:space="preserve">Afinidad GLUT1 – 2DG 2,3 </w:t>
      </w:r>
      <w:proofErr w:type="spellStart"/>
      <w:r>
        <w:t>μM</w:t>
      </w:r>
      <w:proofErr w:type="spellEnd"/>
    </w:p>
    <w:p w14:paraId="0B35BC8A" w14:textId="77777777" w:rsidR="006F35F5" w:rsidRDefault="006F35F5" w:rsidP="006F35F5">
      <w:r>
        <w:t xml:space="preserve">Afinidad CXCR4 – SDF-1 10 </w:t>
      </w:r>
      <w:proofErr w:type="spellStart"/>
      <w:r>
        <w:t>nM</w:t>
      </w:r>
      <w:proofErr w:type="spellEnd"/>
    </w:p>
    <w:p w14:paraId="278EAD76" w14:textId="77777777" w:rsidR="006F35F5" w:rsidRDefault="006F35F5" w:rsidP="006F35F5">
      <w:r>
        <w:t xml:space="preserve">Afinidad CD4 – </w:t>
      </w:r>
      <w:proofErr w:type="spellStart"/>
      <w:r>
        <w:t>Fab</w:t>
      </w:r>
      <w:proofErr w:type="spellEnd"/>
      <w:r>
        <w:t xml:space="preserve"> 5 </w:t>
      </w:r>
      <w:proofErr w:type="spellStart"/>
      <w:r>
        <w:t>nM</w:t>
      </w:r>
      <w:proofErr w:type="spellEnd"/>
    </w:p>
    <w:p w14:paraId="27A14B9B" w14:textId="77777777" w:rsidR="006F35F5" w:rsidRDefault="006F35F5" w:rsidP="006F35F5">
      <w:r>
        <w:t xml:space="preserve">Afinidad Importación nuclear 80 </w:t>
      </w:r>
      <w:proofErr w:type="spellStart"/>
      <w:r>
        <w:t>nM</w:t>
      </w:r>
      <w:proofErr w:type="spellEnd"/>
    </w:p>
    <w:p w14:paraId="71DE3493" w14:textId="77777777" w:rsidR="006F35F5" w:rsidRDefault="006F35F5" w:rsidP="006F35F5">
      <w:r>
        <w:t xml:space="preserve">Afinidad Cas9 – ADN diana 0,5 </w:t>
      </w:r>
      <w:proofErr w:type="spellStart"/>
      <w:r>
        <w:t>nM</w:t>
      </w:r>
      <w:proofErr w:type="spellEnd"/>
    </w:p>
    <w:p w14:paraId="7493DF3D" w14:textId="77777777" w:rsidR="006F35F5" w:rsidRDefault="006F35F5" w:rsidP="006F35F5">
      <w:r>
        <w:t>Cinética Formación R-</w:t>
      </w:r>
      <w:proofErr w:type="spellStart"/>
      <w:r>
        <w:t>loop</w:t>
      </w:r>
      <w:proofErr w:type="spellEnd"/>
      <w:r>
        <w:t xml:space="preserve"> 2,3 s</w:t>
      </w:r>
    </w:p>
    <w:p w14:paraId="67E82078" w14:textId="77777777" w:rsidR="006F35F5" w:rsidRDefault="006F35F5" w:rsidP="006F35F5">
      <w:r>
        <w:t>Cinética Corte Cas9 (</w:t>
      </w:r>
      <w:proofErr w:type="spellStart"/>
      <w:r>
        <w:t>kcat</w:t>
      </w:r>
      <w:proofErr w:type="spellEnd"/>
      <w:r>
        <w:t>) 0,3 s</w:t>
      </w:r>
      <w:r>
        <w:rPr>
          <w:rFonts w:ascii="Roboto" w:hAnsi="Roboto" w:cs="Roboto"/>
        </w:rPr>
        <w:t>⁻</w:t>
      </w:r>
      <w:r>
        <w:t>¹</w:t>
      </w:r>
    </w:p>
    <w:p w14:paraId="4F32786E" w14:textId="77777777" w:rsidR="006F35F5" w:rsidRDefault="006F35F5" w:rsidP="006F35F5">
      <w:r>
        <w:t>Farmacocinética t1/2 LNP 18,5 h</w:t>
      </w:r>
    </w:p>
    <w:p w14:paraId="5E42EFD2" w14:textId="77777777" w:rsidR="006F35F5" w:rsidRDefault="006F35F5" w:rsidP="006F35F5">
      <w:r>
        <w:t>Dosis RNP total 0,5 mg/kg</w:t>
      </w:r>
    </w:p>
    <w:p w14:paraId="48F73FA7" w14:textId="77777777" w:rsidR="006F35F5" w:rsidRDefault="006F35F5" w:rsidP="006F35F5"/>
    <w:p w14:paraId="5051C6E1" w14:textId="77777777" w:rsidR="006F35F5" w:rsidRDefault="006F35F5" w:rsidP="006F35F5">
      <w:r>
        <w:t>---</w:t>
      </w:r>
    </w:p>
    <w:p w14:paraId="6C477E14" w14:textId="77777777" w:rsidR="006F35F5" w:rsidRDefault="006F35F5" w:rsidP="006F35F5"/>
    <w:p w14:paraId="0DBCA507" w14:textId="77777777" w:rsidR="006F35F5" w:rsidRDefault="006F35F5" w:rsidP="006F35F5">
      <w:r>
        <w:t>9. Conclusión sobre la aplicación de estas constantes</w:t>
      </w:r>
    </w:p>
    <w:p w14:paraId="1913B66B" w14:textId="77777777" w:rsidR="006F35F5" w:rsidRDefault="006F35F5" w:rsidP="006F35F5"/>
    <w:p w14:paraId="2449D52E" w14:textId="77777777" w:rsidR="006F35F5" w:rsidRDefault="006F35F5" w:rsidP="006F35F5">
      <w:r>
        <w:t>El conjunto de constantes aquí presentadas constituye la base cuantitativa para:</w:t>
      </w:r>
    </w:p>
    <w:p w14:paraId="3F8402ED" w14:textId="77777777" w:rsidR="006F35F5" w:rsidRDefault="006F35F5" w:rsidP="006F35F5"/>
    <w:p w14:paraId="4671274C" w14:textId="77777777" w:rsidR="006F35F5" w:rsidRDefault="006F35F5" w:rsidP="006F35F5">
      <w:r>
        <w:t xml:space="preserve">· Simulaciones in </w:t>
      </w:r>
      <w:proofErr w:type="spellStart"/>
      <w:r>
        <w:t>silico</w:t>
      </w:r>
      <w:proofErr w:type="spellEnd"/>
      <w:r>
        <w:t xml:space="preserve"> de distribución y eficacia.</w:t>
      </w:r>
    </w:p>
    <w:p w14:paraId="7DFD6958" w14:textId="77777777" w:rsidR="006F35F5" w:rsidRDefault="006F35F5" w:rsidP="006F35F5">
      <w:r>
        <w:t xml:space="preserve">· Diseño de formulaciones con </w:t>
      </w:r>
      <w:proofErr w:type="spellStart"/>
      <w:r>
        <w:t>estequiometría</w:t>
      </w:r>
      <w:proofErr w:type="spellEnd"/>
      <w:r>
        <w:t xml:space="preserve"> precisa.</w:t>
      </w:r>
    </w:p>
    <w:p w14:paraId="7DBF53E5" w14:textId="77777777" w:rsidR="006F35F5" w:rsidRDefault="006F35F5" w:rsidP="006F35F5">
      <w:r>
        <w:t>· Establecimiento de especificaciones de calidad para manufactura GMP.</w:t>
      </w:r>
    </w:p>
    <w:p w14:paraId="30026D02" w14:textId="77777777" w:rsidR="006F35F5" w:rsidRDefault="006F35F5" w:rsidP="006F35F5">
      <w:r>
        <w:t>· Evaluación preclínica y clínica de la terapia.</w:t>
      </w:r>
    </w:p>
    <w:p w14:paraId="681CA018" w14:textId="77777777" w:rsidR="006F35F5" w:rsidRDefault="006F35F5" w:rsidP="006F35F5"/>
    <w:p w14:paraId="2D36A5AA" w14:textId="77777777" w:rsidR="006F35F5" w:rsidRDefault="006F35F5" w:rsidP="006F35F5">
      <w:r>
        <w:t>Cada valor ha sido derivado de la teoría original, complementado con datos de la literatura científica cuando la teoría proporcionaba solo referencias cualitativas. En un proyecto real, estas constantes deberían ser validadas experimentalmente para cada componente y formulación específica.</w:t>
      </w:r>
    </w:p>
    <w:p w14:paraId="247E48A5" w14:textId="77777777" w:rsidR="006F35F5" w:rsidRDefault="006F35F5" w:rsidP="006F35F5"/>
    <w:p w14:paraId="1BB5AC46" w14:textId="77777777" w:rsidR="006F35F5" w:rsidRDefault="006F35F5" w:rsidP="006F35F5">
      <w:r>
        <w:t>---</w:t>
      </w:r>
    </w:p>
    <w:p w14:paraId="17FB5410" w14:textId="56914C88" w:rsidR="006F35F5" w:rsidRDefault="006F35F5"/>
    <w:sectPr w:rsidR="006F35F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5F5"/>
    <w:rsid w:val="006F35F5"/>
    <w:rsid w:val="00725A8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16E2088"/>
  <w15:chartTrackingRefBased/>
  <w15:docId w15:val="{C7DB197F-76FE-0A41-AEDF-B56611B9F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3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3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35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35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35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35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35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35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35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35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35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35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35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35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35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35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35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35F5"/>
    <w:rPr>
      <w:rFonts w:eastAsiaTheme="majorEastAsia" w:cstheme="majorBidi"/>
      <w:color w:val="272727" w:themeColor="text1" w:themeTint="D8"/>
    </w:rPr>
  </w:style>
  <w:style w:type="paragraph" w:styleId="Ttulo">
    <w:name w:val="Title"/>
    <w:basedOn w:val="Normal"/>
    <w:next w:val="Normal"/>
    <w:link w:val="TtuloCar"/>
    <w:uiPriority w:val="10"/>
    <w:qFormat/>
    <w:rsid w:val="006F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35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35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35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35F5"/>
    <w:pPr>
      <w:spacing w:before="160"/>
      <w:jc w:val="center"/>
    </w:pPr>
    <w:rPr>
      <w:i/>
      <w:iCs/>
      <w:color w:val="404040" w:themeColor="text1" w:themeTint="BF"/>
    </w:rPr>
  </w:style>
  <w:style w:type="character" w:customStyle="1" w:styleId="CitaCar">
    <w:name w:val="Cita Car"/>
    <w:basedOn w:val="Fuentedeprrafopredeter"/>
    <w:link w:val="Cita"/>
    <w:uiPriority w:val="29"/>
    <w:rsid w:val="006F35F5"/>
    <w:rPr>
      <w:i/>
      <w:iCs/>
      <w:color w:val="404040" w:themeColor="text1" w:themeTint="BF"/>
    </w:rPr>
  </w:style>
  <w:style w:type="paragraph" w:styleId="Prrafodelista">
    <w:name w:val="List Paragraph"/>
    <w:basedOn w:val="Normal"/>
    <w:uiPriority w:val="34"/>
    <w:qFormat/>
    <w:rsid w:val="006F35F5"/>
    <w:pPr>
      <w:ind w:left="720"/>
      <w:contextualSpacing/>
    </w:pPr>
  </w:style>
  <w:style w:type="character" w:styleId="nfasisintenso">
    <w:name w:val="Intense Emphasis"/>
    <w:basedOn w:val="Fuentedeprrafopredeter"/>
    <w:uiPriority w:val="21"/>
    <w:qFormat/>
    <w:rsid w:val="006F35F5"/>
    <w:rPr>
      <w:i/>
      <w:iCs/>
      <w:color w:val="0F4761" w:themeColor="accent1" w:themeShade="BF"/>
    </w:rPr>
  </w:style>
  <w:style w:type="paragraph" w:styleId="Citadestacada">
    <w:name w:val="Intense Quote"/>
    <w:basedOn w:val="Normal"/>
    <w:next w:val="Normal"/>
    <w:link w:val="CitadestacadaCar"/>
    <w:uiPriority w:val="30"/>
    <w:qFormat/>
    <w:rsid w:val="006F3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35F5"/>
    <w:rPr>
      <w:i/>
      <w:iCs/>
      <w:color w:val="0F4761" w:themeColor="accent1" w:themeShade="BF"/>
    </w:rPr>
  </w:style>
  <w:style w:type="character" w:styleId="Referenciaintensa">
    <w:name w:val="Intense Reference"/>
    <w:basedOn w:val="Fuentedeprrafopredeter"/>
    <w:uiPriority w:val="32"/>
    <w:qFormat/>
    <w:rsid w:val="006F35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1778</Words>
  <Characters>9780</Characters>
  <Application>Microsoft Office Word</Application>
  <DocSecurity>0</DocSecurity>
  <Lines>81</Lines>
  <Paragraphs>23</Paragraphs>
  <ScaleCrop>false</ScaleCrop>
  <Company/>
  <LinksUpToDate>false</LinksUpToDate>
  <CharactersWithSpaces>11535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2026-03-24T12:53:00Z</dcterms:created>
  <dcterms:modified xsi:type="dcterms:W3CDTF">2026-03-24T12:53:00Z</dcterms:modified>
</cp:coreProperties>
</file>