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8B9CF" w14:textId="77777777" w:rsidR="004B5F5F" w:rsidRDefault="004B5F5F" w:rsidP="004B5F5F">
      <w:r>
        <w:t>TEORÍA COMPLETA DE LA RELACIÓN ENTRE LA FÓRMULA FOREX, LA FÓRMULA DE OFERTA Y DEMANDA DE LA MASA MONETARIA Y LA FÓRMULA DE ÍNDICE</w:t>
      </w:r>
    </w:p>
    <w:p w14:paraId="4ADD12D7" w14:textId="77777777" w:rsidR="004B5F5F" w:rsidRDefault="004B5F5F" w:rsidP="004B5F5F"/>
    <w:p w14:paraId="1E289760" w14:textId="77777777" w:rsidR="004B5F5F" w:rsidRDefault="004B5F5F" w:rsidP="004B5F5F">
      <w:r>
        <w:t>Sistema Integral de Valoración Estructural TST-TBAC</w:t>
      </w:r>
    </w:p>
    <w:p w14:paraId="16440C7A" w14:textId="77777777" w:rsidR="004B5F5F" w:rsidRDefault="004B5F5F" w:rsidP="004B5F5F"/>
    <w:p w14:paraId="4B9F6C8D" w14:textId="77777777" w:rsidR="004B5F5F" w:rsidRDefault="004B5F5F" w:rsidP="004B5F5F">
      <w:r>
        <w:t>Documento de Aplicación — Septiembre 2026</w:t>
      </w:r>
    </w:p>
    <w:p w14:paraId="3E143AF5" w14:textId="77777777" w:rsidR="004B5F5F" w:rsidRDefault="004B5F5F" w:rsidP="004B5F5F"/>
    <w:p w14:paraId="2926ABC3" w14:textId="77777777" w:rsidR="004B5F5F" w:rsidRDefault="004B5F5F" w:rsidP="004B5F5F">
      <w:r>
        <w:t>Autor: Roberth Willians Mendoza Requena</w:t>
      </w:r>
    </w:p>
    <w:p w14:paraId="4B981AC0" w14:textId="77777777" w:rsidR="004B5F5F" w:rsidRDefault="004B5F5F" w:rsidP="004B5F5F"/>
    <w:p w14:paraId="25471975" w14:textId="77777777" w:rsidR="004B5F5F" w:rsidRDefault="004B5F5F" w:rsidP="004B5F5F">
      <w:r>
        <w:t>Versión 2.0 — Con justificación detallada de cada teoría y cada ecuación</w:t>
      </w:r>
    </w:p>
    <w:p w14:paraId="33A871F3" w14:textId="77777777" w:rsidR="004B5F5F" w:rsidRDefault="004B5F5F" w:rsidP="004B5F5F"/>
    <w:p w14:paraId="602845F3" w14:textId="77777777" w:rsidR="004B5F5F" w:rsidRDefault="004B5F5F" w:rsidP="004B5F5F">
      <w:r>
        <w:t>---</w:t>
      </w:r>
    </w:p>
    <w:p w14:paraId="041070D8" w14:textId="77777777" w:rsidR="004B5F5F" w:rsidRDefault="004B5F5F" w:rsidP="004B5F5F"/>
    <w:p w14:paraId="05C5C1B9" w14:textId="77777777" w:rsidR="004B5F5F" w:rsidRDefault="004B5F5F" w:rsidP="004B5F5F">
      <w:r>
        <w:t>PARTE I: FUNDAMENTACIÓN CONCEPTUAL</w:t>
      </w:r>
    </w:p>
    <w:p w14:paraId="0EA592FA" w14:textId="77777777" w:rsidR="004B5F5F" w:rsidRDefault="004B5F5F" w:rsidP="004B5F5F"/>
    <w:p w14:paraId="01044037" w14:textId="77777777" w:rsidR="004B5F5F" w:rsidRDefault="004B5F5F" w:rsidP="004B5F5F">
      <w:r>
        <w:t>1.1. El problema del Forex</w:t>
      </w:r>
    </w:p>
    <w:p w14:paraId="1B2024B9" w14:textId="77777777" w:rsidR="004B5F5F" w:rsidRDefault="004B5F5F" w:rsidP="004B5F5F"/>
    <w:p w14:paraId="3B2D7D2A" w14:textId="77777777" w:rsidR="004B5F5F" w:rsidRDefault="004B5F5F" w:rsidP="004B5F5F">
      <w:r>
        <w:t>El mercado Forex no fija el valor real de las monedas. Su función es similar a la de un índice bursátil: refleja el movimiento especulativo diario de la oferta y la demanda de divisas, pero no mide el respaldo estructural de una economía. El Forex es un mercado de expectativas, no de valoraciones fundamentales. Cuando el tipo de cambio sube o baja, lo que está haciendo es ajustar el precio de la moneda en función de las operaciones especulativas de los bancos, fondos de inversión y grandes corporaciones. No está midiendo el PIB real, la riqueza en recursos naturales, la capacidad productiva ni el respaldo financiero de un país.</w:t>
      </w:r>
    </w:p>
    <w:p w14:paraId="5B277CD3" w14:textId="77777777" w:rsidR="004B5F5F" w:rsidRDefault="004B5F5F" w:rsidP="004B5F5F"/>
    <w:p w14:paraId="14EC949B" w14:textId="77777777" w:rsidR="004B5F5F" w:rsidRDefault="004B5F5F" w:rsidP="004B5F5F">
      <w:r>
        <w:t>La tesis central de este documento es que el mercado Forex no se ajusta a la realidad del valor de la moneda fiat según el TST-TBAC porque solo muestra un ratio de índice de oferta y demanda de la masa monetaria. Ese ratio no mide el respaldo estructural. No mide el PIB, ni los recursos naturales, ni los activos del Estado, ni los ingresos fiscales futuros, ni el capital humano, ni el posicionamiento geopolítico. Solo mide la relación entre la oferta y la demanda de dinero en un momento dado. Por lo tanto, no sirve para fijar el precio de una moneda. Sirve para mostrar un índice de presión especulativa. El precio real de la moneda es el factor de revalorización estructural del TST-TBAC.</w:t>
      </w:r>
    </w:p>
    <w:p w14:paraId="530DABA4" w14:textId="77777777" w:rsidR="004B5F5F" w:rsidRDefault="004B5F5F" w:rsidP="004B5F5F"/>
    <w:p w14:paraId="4E7E884C" w14:textId="77777777" w:rsidR="004B5F5F" w:rsidRDefault="004B5F5F" w:rsidP="004B5F5F">
      <w:r>
        <w:t>Para justificar esta tesis se desarrollan tres fórmulas fundamentales. La fórmula Forex, que es el cociente entre órdenes de compra y órdenes de venta. La fórmula de oferta y demanda de la masa monetaria, que es el cociente entre la oferta relativa y la demanda relativa de dinero. Y la fórmula de índice, que normaliza ese cociente para permitir comparaciones temporales. La demostración formal que se presenta en la sección 2.5 muestra que las tres fórmulas son la misma cosa expresada de tres maneras distintas. El Forex es el ratio de oferta y demanda disfrazado de precio. El índice es ese mismo ratio normalizado. Y el precio real es el factor de revalorización estructural.</w:t>
      </w:r>
    </w:p>
    <w:p w14:paraId="673F9DA7" w14:textId="77777777" w:rsidR="004B5F5F" w:rsidRDefault="004B5F5F" w:rsidP="004B5F5F"/>
    <w:p w14:paraId="0E900BE7" w14:textId="77777777" w:rsidR="004B5F5F" w:rsidRDefault="004B5F5F" w:rsidP="004B5F5F">
      <w:r>
        <w:t>1.2. La tokenización de la deuda pública</w:t>
      </w:r>
    </w:p>
    <w:p w14:paraId="4725568A" w14:textId="77777777" w:rsidR="004B5F5F" w:rsidRDefault="004B5F5F" w:rsidP="004B5F5F"/>
    <w:p w14:paraId="7E75B9C1" w14:textId="77777777" w:rsidR="004B5F5F" w:rsidRDefault="004B5F5F" w:rsidP="004B5F5F">
      <w:r>
        <w:t>La tokenización de la deuda pública mediante criptobonos NFT y la capitalización de ingresos futuros en divisas transforma pasivos en activos colaterales que respaldan la emisión monetaria. En el modelo TST-TBAC, toda la deuda pública de cada país se tokeniza y se convierte en criptobonos, que se suman al PIB ajustado y a la capitalización ajustada. Este principio se aplica a cada uno de los escalafones jerárquicos, donde los pasivos tradicionales se convierten en activos estructurales.</w:t>
      </w:r>
    </w:p>
    <w:p w14:paraId="05642837" w14:textId="77777777" w:rsidR="004B5F5F" w:rsidRDefault="004B5F5F" w:rsidP="004B5F5F"/>
    <w:p w14:paraId="6E676646" w14:textId="77777777" w:rsidR="004B5F5F" w:rsidRDefault="004B5F5F" w:rsidP="004B5F5F">
      <w:r>
        <w:t>La justificación de este principio se basa en la ecuación contable fundamental del TST-TBAC. El respaldo real total, entendido como activo estructural, es igual a la masa monetaria revalorizada, entendida como pasivo monetario, más el patrimonio nacional tokenizado. Esta ecuación se escribe como sigue.</w:t>
      </w:r>
    </w:p>
    <w:p w14:paraId="0FCB7049" w14:textId="77777777" w:rsidR="004B5F5F" w:rsidRDefault="004B5F5F" w:rsidP="004B5F5F"/>
    <w:p w14:paraId="0A9F66E1" w14:textId="77777777" w:rsidR="004B5F5F" w:rsidRDefault="004B5F5F" w:rsidP="004B5F5F">
      <w:r>
        <w:t>Respaldo_Real_Total_i = M2_i × R_reval_ampliada_con_deuda_i + Patrimonio_Nacional_Tokenizado_i</w:t>
      </w:r>
    </w:p>
    <w:p w14:paraId="203A8EB9" w14:textId="77777777" w:rsidR="004B5F5F" w:rsidRDefault="004B5F5F" w:rsidP="004B5F5F"/>
    <w:p w14:paraId="0181FF8A" w14:textId="77777777" w:rsidR="004B5F5F" w:rsidRDefault="004B5F5F" w:rsidP="004B5F5F">
      <w:r>
        <w:t>Donde el respaldo real total del escalafón i es la suma de todos los activos estructurales de ese escalafón. La masa monetaria revalorizada es la masa monetaria multiplicada por el factor de revalorización ampliado con deuda. El patrimonio nacional tokenizado es el valor de todos los activos tokenizados que no son masa monetaria ni deuda. La justificación es que la deuda pública, al ser tokenizada, deja de ser un pasivo que resta y se convierte en un activo que suma. Esto se debe a que los criptobonos son colateral aceptado por el sistema, y por lo tanto forman parte del respaldo real. La ecuación se aplica a cada escalafón y se agrega mediante la Ecuación de Transducción Multiescalar.</w:t>
      </w:r>
    </w:p>
    <w:p w14:paraId="73350AAD" w14:textId="77777777" w:rsidR="004B5F5F" w:rsidRDefault="004B5F5F" w:rsidP="004B5F5F"/>
    <w:p w14:paraId="54E77BDE" w14:textId="77777777" w:rsidR="004B5F5F" w:rsidRDefault="004B5F5F" w:rsidP="004B5F5F">
      <w:r>
        <w:t>1.3. Los 13 escalafones jerárquicos de la economía mundial</w:t>
      </w:r>
    </w:p>
    <w:p w14:paraId="4F87E41D" w14:textId="77777777" w:rsidR="004B5F5F" w:rsidRDefault="004B5F5F" w:rsidP="004B5F5F"/>
    <w:p w14:paraId="2B471F07" w14:textId="77777777" w:rsidR="004B5F5F" w:rsidRDefault="004B5F5F" w:rsidP="004B5F5F">
      <w:r>
        <w:t>Para la aplicación multiescalar del sistema TST-TBAC, se definen 13 escalafones jerárquicos que organizan la economía mundial desde el nivel educativo más básico hasta la gobernanza global de la ONU. Cada escalafón representa un nivel de agregación, toma de decisiones y capacidad de acción económica. Los escalafones académicos son cinco. El escalafón cero corresponde al TSU. El escalafón uno al pregrado. El escalafón dos al postgrado. El escalafón tres a la maestría. El escalafón cuatro al doctorado. Los escalafones jurisdiccionales son ocho. El escalafón cinco corresponde al sector económico. El escalafón seis a la parroquia. El escalafón siete al municipio. El escalafón ocho al estado. El escalafón nueve a la provincia. El escalafón diez a la nación. El escalafón once a la liga federal. El escalafón doce a la confederación de ligas federales de la ONU.</w:t>
      </w:r>
    </w:p>
    <w:p w14:paraId="627E17FF" w14:textId="77777777" w:rsidR="004B5F5F" w:rsidRDefault="004B5F5F" w:rsidP="004B5F5F"/>
    <w:p w14:paraId="1A6B8448" w14:textId="77777777" w:rsidR="004B5F5F" w:rsidRDefault="004B5F5F" w:rsidP="004B5F5F">
      <w:r>
        <w:t>La ecuación fundamental de escalamiento heredada de la THRCI-4D se escribe como sigue.</w:t>
      </w:r>
    </w:p>
    <w:p w14:paraId="29BE6E30" w14:textId="77777777" w:rsidR="004B5F5F" w:rsidRDefault="004B5F5F" w:rsidP="004B5F5F"/>
    <w:p w14:paraId="0995EB7A" w14:textId="77777777" w:rsidR="004B5F5F" w:rsidRDefault="004B5F5F" w:rsidP="004B5F5F">
      <w:r>
        <w:t>τ_i = τ_0 × 8^i</w:t>
      </w:r>
    </w:p>
    <w:p w14:paraId="57775819" w14:textId="77777777" w:rsidR="004B5F5F" w:rsidRDefault="004B5F5F" w:rsidP="004B5F5F"/>
    <w:p w14:paraId="187B9A71" w14:textId="77777777" w:rsidR="004B5F5F" w:rsidRDefault="004B5F5F" w:rsidP="004B5F5F">
      <w:r>
        <w:t>Donde τ_i es el tiempo característico del escalafón i. τ_0 es el tiempo del escalafón TSU, que es igual a 1,25 × 10</w:t>
      </w:r>
      <w:r>
        <w:rPr>
          <w:rFonts w:ascii="Roboto" w:hAnsi="Roboto" w:cs="Roboto"/>
        </w:rPr>
        <w:t>⁻</w:t>
      </w:r>
      <w:r>
        <w:t>¹⁰ segundos. La base 8 garantiza que cada escalafón superior tenga un tiempo característico aproximadamente ocho veces mayor que el escalafón inferior. La justificación de esta relación es que la complejidad de un escalafón crece exponencialmente con el número de escalafón, y el tiempo característico es una medida de esa complejidad. Un escalafón superior abarca más variables, más agentes y más interacciones, por lo que su tiempo de reacción es mayor. La base 8 se deriva de la THRCI-4D, donde el operador de equilibrio actúa sobre 8 dimensiones por cada nivel jerárquico.</w:t>
      </w:r>
    </w:p>
    <w:p w14:paraId="58E08EFB" w14:textId="77777777" w:rsidR="004B5F5F" w:rsidRDefault="004B5F5F" w:rsidP="004B5F5F"/>
    <w:p w14:paraId="39DA1A49" w14:textId="77777777" w:rsidR="004B5F5F" w:rsidRDefault="004B5F5F" w:rsidP="004B5F5F">
      <w:r>
        <w:t>Los pesos de cada escalafón se definen como sigue.</w:t>
      </w:r>
    </w:p>
    <w:p w14:paraId="7F2F39F5" w14:textId="77777777" w:rsidR="004B5F5F" w:rsidRDefault="004B5F5F" w:rsidP="004B5F5F"/>
    <w:p w14:paraId="51CF6B3B" w14:textId="77777777" w:rsidR="004B5F5F" w:rsidRDefault="004B5F5F" w:rsidP="004B5F5F">
      <w:r>
        <w:t>β_i = 7 × 8^i / (8^14 - 1)</w:t>
      </w:r>
    </w:p>
    <w:p w14:paraId="1D51A0C2" w14:textId="77777777" w:rsidR="004B5F5F" w:rsidRDefault="004B5F5F" w:rsidP="004B5F5F"/>
    <w:p w14:paraId="5F9102A6" w14:textId="77777777" w:rsidR="004B5F5F" w:rsidRDefault="004B5F5F" w:rsidP="004B5F5F">
      <w:r>
        <w:t>Donde β_i es el peso del escalafón i. La suma de todos los pesos desde i igual a cero hasta i igual a doce es exactamente uno. La justificación de esta fórmula es que los pesos deben ser proporcionales al tiempo característico de cada escalafón, pero normalizados para que sumen uno. El factor 7 en el numerador se debe a que hay 7 escalafones jurisdiccionales, y el factor 8^14 - 1 en el denominador es la suma de la serie geométrica de razón 8 desde 8^0 hasta 8^13. La normalización garantiza que el peso de cada escalafón sea una fracción del total.</w:t>
      </w:r>
    </w:p>
    <w:p w14:paraId="591F81C8" w14:textId="77777777" w:rsidR="004B5F5F" w:rsidRDefault="004B5F5F" w:rsidP="004B5F5F"/>
    <w:p w14:paraId="28C2A994" w14:textId="77777777" w:rsidR="004B5F5F" w:rsidRDefault="004B5F5F" w:rsidP="004B5F5F">
      <w:r>
        <w:t>Las frecuencias angulares se definen como sigue.</w:t>
      </w:r>
    </w:p>
    <w:p w14:paraId="4EF05706" w14:textId="77777777" w:rsidR="004B5F5F" w:rsidRDefault="004B5F5F" w:rsidP="004B5F5F"/>
    <w:p w14:paraId="75476D39" w14:textId="77777777" w:rsidR="004B5F5F" w:rsidRDefault="004B5F5F" w:rsidP="004B5F5F">
      <w:r>
        <w:t>ω_i = 2π / τ_i</w:t>
      </w:r>
    </w:p>
    <w:p w14:paraId="50362110" w14:textId="77777777" w:rsidR="004B5F5F" w:rsidRDefault="004B5F5F" w:rsidP="004B5F5F"/>
    <w:p w14:paraId="479F384E" w14:textId="77777777" w:rsidR="004B5F5F" w:rsidRDefault="004B5F5F" w:rsidP="004B5F5F">
      <w:r>
        <w:t>Donde ω_i es la frecuencia angular del escalafón i. La justificación es que la frecuencia angular es inversamente proporcional al tiempo característico. Un escalafón con tiempo característico mayor tiene frecuencia angular menor, lo que significa que oscila más lentamente.</w:t>
      </w:r>
    </w:p>
    <w:p w14:paraId="423FEBD7" w14:textId="77777777" w:rsidR="004B5F5F" w:rsidRDefault="004B5F5F" w:rsidP="004B5F5F"/>
    <w:p w14:paraId="29477957" w14:textId="77777777" w:rsidR="004B5F5F" w:rsidRDefault="004B5F5F" w:rsidP="004B5F5F">
      <w:r>
        <w:t>La masa efectiva de cada escalafón se define como sigue.</w:t>
      </w:r>
    </w:p>
    <w:p w14:paraId="3606B71A" w14:textId="77777777" w:rsidR="004B5F5F" w:rsidRDefault="004B5F5F" w:rsidP="004B5F5F"/>
    <w:p w14:paraId="3AAB38A3" w14:textId="77777777" w:rsidR="004B5F5F" w:rsidRDefault="004B5F5F" w:rsidP="004B5F5F">
      <w:r>
        <w:t>m_i = ħ_inf / (c² × τ_i)</w:t>
      </w:r>
    </w:p>
    <w:p w14:paraId="55A89709" w14:textId="77777777" w:rsidR="004B5F5F" w:rsidRDefault="004B5F5F" w:rsidP="004B5F5F"/>
    <w:p w14:paraId="3FB71B99" w14:textId="77777777" w:rsidR="004B5F5F" w:rsidRDefault="004B5F5F" w:rsidP="004B5F5F">
      <w:r>
        <w:t>Donde m_i es la masa efectiva del escalafón i. ħ_inf es la constante de Planck informacional reducida, que es igual a 1,678 × 10</w:t>
      </w:r>
      <w:r>
        <w:rPr>
          <w:rFonts w:ascii="Roboto" w:hAnsi="Roboto" w:cs="Roboto"/>
        </w:rPr>
        <w:t>⁻</w:t>
      </w:r>
      <w:r>
        <w:t>³⁵ J·s/rad. c es la velocidad efectiva de la luz, que es igual a 299792458 m/s. La justificación es que la masa efectiva es inversamente proporcional al tiempo característico, siguiendo la relación de incertidumbre de energía-tiempo. Un escalafón con tiempo característico mayor tiene masa efectiva menor, lo que significa que es más ligero y más fácil de mover.</w:t>
      </w:r>
    </w:p>
    <w:p w14:paraId="6EAA8290" w14:textId="77777777" w:rsidR="004B5F5F" w:rsidRDefault="004B5F5F" w:rsidP="004B5F5F"/>
    <w:p w14:paraId="1E5FC12E" w14:textId="77777777" w:rsidR="004B5F5F" w:rsidRDefault="004B5F5F" w:rsidP="004B5F5F">
      <w:r>
        <w:t>Las constantes de anarmonicidad de cuarto y sexto orden se definen como sigue.</w:t>
      </w:r>
    </w:p>
    <w:p w14:paraId="5A82C6B8" w14:textId="77777777" w:rsidR="004B5F5F" w:rsidRDefault="004B5F5F" w:rsidP="004B5F5F"/>
    <w:p w14:paraId="660E65D8" w14:textId="77777777" w:rsidR="004B5F5F" w:rsidRDefault="004B5F5F" w:rsidP="004B5F5F">
      <w:r>
        <w:t>λ_i = λ_0 × (τ_0 / τ_i)^γ_λ</w:t>
      </w:r>
    </w:p>
    <w:p w14:paraId="516609FA" w14:textId="77777777" w:rsidR="004B5F5F" w:rsidRDefault="004B5F5F" w:rsidP="004B5F5F"/>
    <w:p w14:paraId="529994FC" w14:textId="77777777" w:rsidR="004B5F5F" w:rsidRDefault="004B5F5F" w:rsidP="004B5F5F">
      <w:r>
        <w:t>μ_i = μ_0 × (τ_0 / τ_i)^γ_μ</w:t>
      </w:r>
    </w:p>
    <w:p w14:paraId="68F5673A" w14:textId="77777777" w:rsidR="004B5F5F" w:rsidRDefault="004B5F5F" w:rsidP="004B5F5F"/>
    <w:p w14:paraId="29861A8D" w14:textId="77777777" w:rsidR="004B5F5F" w:rsidRDefault="004B5F5F" w:rsidP="004B5F5F">
      <w:r>
        <w:t>Donde λ_i es la constante de anarmonicidad de cuarto orden del escalafón i. λ_0 es el valor base, que es igual a 1,000 × 10</w:t>
      </w:r>
      <w:r>
        <w:rPr>
          <w:rFonts w:ascii="Roboto" w:hAnsi="Roboto" w:cs="Roboto"/>
        </w:rPr>
        <w:t>⁻</w:t>
      </w:r>
      <w:r>
        <w:t>³⁰ J/m⁴. γ_λ es el exponente, que es igual a 0,150000. μ_i es la constante de anarmonicidad de sexto orden del escalafón i. μ_0 es el valor base, que es igual a 1,000 × 10</w:t>
      </w:r>
      <w:r>
        <w:rPr>
          <w:rFonts w:ascii="Roboto" w:hAnsi="Roboto" w:cs="Roboto"/>
        </w:rPr>
        <w:t>⁻</w:t>
      </w:r>
      <w:r>
        <w:t>⁴⁵ J/m⁶. γ_μ es el exponente, que es igual a 0,220000. La justificación es que la anarmonicidad disminuye con el tiempo característico, porque los escalafones superiores son más lineales y menos caóticos. Los exponentes γ_λ y γ_μ se calibraron para que la anarmonicidad sea insignificante en los escalafones superiores.</w:t>
      </w:r>
    </w:p>
    <w:p w14:paraId="18B55E14" w14:textId="77777777" w:rsidR="004B5F5F" w:rsidRDefault="004B5F5F" w:rsidP="004B5F5F"/>
    <w:p w14:paraId="00E6EA5B" w14:textId="77777777" w:rsidR="004B5F5F" w:rsidRDefault="004B5F5F" w:rsidP="004B5F5F">
      <w:r>
        <w:t>Los coeficientes de amortiguamiento se definen como sigue.</w:t>
      </w:r>
    </w:p>
    <w:p w14:paraId="35B9444E" w14:textId="77777777" w:rsidR="004B5F5F" w:rsidRDefault="004B5F5F" w:rsidP="004B5F5F"/>
    <w:p w14:paraId="1F7E345D" w14:textId="77777777" w:rsidR="004B5F5F" w:rsidRDefault="004B5F5F" w:rsidP="004B5F5F">
      <w:r>
        <w:t>γ_i = γ_0 × (τ_0 / τ_i)^δ_γ</w:t>
      </w:r>
    </w:p>
    <w:p w14:paraId="47AB926D" w14:textId="77777777" w:rsidR="004B5F5F" w:rsidRDefault="004B5F5F" w:rsidP="004B5F5F"/>
    <w:p w14:paraId="1C1D33BF" w14:textId="77777777" w:rsidR="004B5F5F" w:rsidRDefault="004B5F5F" w:rsidP="004B5F5F">
      <w:r>
        <w:t>Donde γ_i es el coeficiente de amortiguamiento del escalafón i. γ_0 es el valor base, que es igual a 1,000 × 10⁶ s</w:t>
      </w:r>
      <w:r>
        <w:rPr>
          <w:rFonts w:ascii="Roboto" w:hAnsi="Roboto" w:cs="Roboto"/>
        </w:rPr>
        <w:t>⁻</w:t>
      </w:r>
      <w:r>
        <w:t>¹. δ_γ es el exponente, que es igual a 0,100000. La justificación es que el amortiguamiento disminuye con el tiempo característico, porque los escalafones superiores tienen más inercia y menos fricción.</w:t>
      </w:r>
    </w:p>
    <w:p w14:paraId="2756D931" w14:textId="77777777" w:rsidR="004B5F5F" w:rsidRDefault="004B5F5F" w:rsidP="004B5F5F"/>
    <w:p w14:paraId="49D6E61F" w14:textId="77777777" w:rsidR="004B5F5F" w:rsidRDefault="004B5F5F" w:rsidP="004B5F5F">
      <w:r>
        <w:t>Las temperaturas de escala se definen como sigue.</w:t>
      </w:r>
    </w:p>
    <w:p w14:paraId="54470B60" w14:textId="77777777" w:rsidR="004B5F5F" w:rsidRDefault="004B5F5F" w:rsidP="004B5F5F"/>
    <w:p w14:paraId="448C5317" w14:textId="77777777" w:rsidR="004B5F5F" w:rsidRDefault="004B5F5F" w:rsidP="004B5F5F">
      <w:r>
        <w:t>T_i = T_0 × (τ_0 / τ_i)^δ</w:t>
      </w:r>
    </w:p>
    <w:p w14:paraId="565C84CD" w14:textId="77777777" w:rsidR="004B5F5F" w:rsidRDefault="004B5F5F" w:rsidP="004B5F5F"/>
    <w:p w14:paraId="365F9872" w14:textId="77777777" w:rsidR="004B5F5F" w:rsidRDefault="004B5F5F" w:rsidP="004B5F5F">
      <w:r>
        <w:t>Donde T_i es la temperatura de escala del escalafón i. T_0 es la temperatura del fondo cósmico de microondas, que es igual a 2,725 K. δ es el exponente, que es igual a 0,150000. La justificación es que la temperatura de escala disminuye con el tiempo característico, porque los escalafones superiores son más fríos y más ordenados.</w:t>
      </w:r>
    </w:p>
    <w:p w14:paraId="0C681D71" w14:textId="77777777" w:rsidR="004B5F5F" w:rsidRDefault="004B5F5F" w:rsidP="004B5F5F"/>
    <w:p w14:paraId="113E2B3B" w14:textId="77777777" w:rsidR="004B5F5F" w:rsidRDefault="004B5F5F" w:rsidP="004B5F5F">
      <w:r>
        <w:t>Las intensidades de ruido se definen como sigue.</w:t>
      </w:r>
    </w:p>
    <w:p w14:paraId="190D2C3C" w14:textId="77777777" w:rsidR="004B5F5F" w:rsidRDefault="004B5F5F" w:rsidP="004B5F5F"/>
    <w:p w14:paraId="2966BD4F" w14:textId="77777777" w:rsidR="004B5F5F" w:rsidRDefault="004B5F5F" w:rsidP="004B5F5F">
      <w:r>
        <w:t>σ_i = √(k_B × T_i / ħ_inf)</w:t>
      </w:r>
    </w:p>
    <w:p w14:paraId="65794C6D" w14:textId="77777777" w:rsidR="004B5F5F" w:rsidRDefault="004B5F5F" w:rsidP="004B5F5F"/>
    <w:p w14:paraId="7975CB6F" w14:textId="77777777" w:rsidR="004B5F5F" w:rsidRDefault="004B5F5F" w:rsidP="004B5F5F">
      <w:r>
        <w:t>Donde σ_i es la intensidad de ruido del escalafón i. k_B es la constante de Boltzmann, que es igual a 1,380649 × 10</w:t>
      </w:r>
      <w:r>
        <w:rPr>
          <w:rFonts w:ascii="Roboto" w:hAnsi="Roboto" w:cs="Roboto"/>
        </w:rPr>
        <w:t>⁻</w:t>
      </w:r>
      <w:r>
        <w:t>²³ J/K. La justificación es que la intensidad de ruido es proporcional a la raíz cuadrada de la temperatura de escala, siguiendo la relación de fluctuación-disipación.</w:t>
      </w:r>
    </w:p>
    <w:p w14:paraId="370A595C" w14:textId="77777777" w:rsidR="004B5F5F" w:rsidRDefault="004B5F5F" w:rsidP="004B5F5F"/>
    <w:p w14:paraId="2312F7F7" w14:textId="77777777" w:rsidR="004B5F5F" w:rsidRDefault="004B5F5F" w:rsidP="004B5F5F">
      <w:r>
        <w:t>El acoplamiento entre escalafones se modela mediante la matriz κ_ij, definida como sigue.</w:t>
      </w:r>
    </w:p>
    <w:p w14:paraId="29BF7488" w14:textId="77777777" w:rsidR="004B5F5F" w:rsidRDefault="004B5F5F" w:rsidP="004B5F5F"/>
    <w:p w14:paraId="30E648EB" w14:textId="77777777" w:rsidR="004B5F5F" w:rsidRDefault="004B5F5F" w:rsidP="004B5F5F">
      <w:r>
        <w:t>κ_ij = κ_0 × exp( -|i-j| × ln(8) / ξ )</w:t>
      </w:r>
    </w:p>
    <w:p w14:paraId="0D882C1A" w14:textId="77777777" w:rsidR="004B5F5F" w:rsidRDefault="004B5F5F" w:rsidP="004B5F5F"/>
    <w:p w14:paraId="3C1094EC" w14:textId="77777777" w:rsidR="004B5F5F" w:rsidRDefault="004B5F5F" w:rsidP="004B5F5F">
      <w:r>
        <w:t>Donde κ_ij es el acoplamiento entre el escalafón i y el escalafón j. κ_0 es el valor base, que es igual a 1,000 × 10</w:t>
      </w:r>
      <w:r>
        <w:rPr>
          <w:rFonts w:ascii="Roboto" w:hAnsi="Roboto" w:cs="Roboto"/>
        </w:rPr>
        <w:t>⁻</w:t>
      </w:r>
      <w:r>
        <w:t>¹⁰ N. ξ es el parámetro de correlación, que es igual a 4,650000. La justificación es que el acoplamiento decae exponencialmente con la distancia entre escalafones, medida en unidades de logaritmo de 8. Los escalafones adyacentes están fuertemente acoplados, y los escalafones lejanos están débilmente acoplados.</w:t>
      </w:r>
    </w:p>
    <w:p w14:paraId="632DF368" w14:textId="77777777" w:rsidR="004B5F5F" w:rsidRDefault="004B5F5F" w:rsidP="004B5F5F"/>
    <w:p w14:paraId="74DFB62B" w14:textId="77777777" w:rsidR="004B5F5F" w:rsidRDefault="004B5F5F" w:rsidP="004B5F5F">
      <w:r>
        <w:t>1.4. La Ecuación de Transducción Multiescalar</w:t>
      </w:r>
    </w:p>
    <w:p w14:paraId="455C8436" w14:textId="77777777" w:rsidR="004B5F5F" w:rsidRDefault="004B5F5F" w:rsidP="004B5F5F"/>
    <w:p w14:paraId="0948D760" w14:textId="77777777" w:rsidR="004B5F5F" w:rsidRDefault="004B5F5F" w:rsidP="004B5F5F">
      <w:r>
        <w:t>La Ecuación de Transducción Multiescalar General se escribe como sigue.</w:t>
      </w:r>
    </w:p>
    <w:p w14:paraId="4A7B237D" w14:textId="77777777" w:rsidR="004B5F5F" w:rsidRDefault="004B5F5F" w:rsidP="004B5F5F"/>
    <w:p w14:paraId="710D534A" w14:textId="77777777" w:rsidR="004B5F5F" w:rsidRDefault="004B5F5F" w:rsidP="004B5F5F">
      <w:r>
        <w:t>𝒯(</w:t>
      </w:r>
      <w:r>
        <w:rPr>
          <w:rFonts w:ascii="Segoe UI Symbol" w:hAnsi="Segoe UI Symbol" w:cs="Segoe UI Symbol"/>
        </w:rPr>
        <w:t>ℰ</w:t>
      </w:r>
      <w:r>
        <w:t xml:space="preserve">_k) = { </w:t>
      </w:r>
      <w:r>
        <w:rPr>
          <w:rFonts w:ascii="Segoe UI Symbol" w:hAnsi="Segoe UI Symbol" w:cs="Segoe UI Symbol"/>
        </w:rPr>
        <w:t>ℰ</w:t>
      </w:r>
      <w:r>
        <w:t xml:space="preserve">_k^i : i </w:t>
      </w:r>
      <w:r>
        <w:rPr>
          <w:rFonts w:ascii="Segoe UI Symbol" w:hAnsi="Segoe UI Symbol" w:cs="Segoe UI Symbol"/>
        </w:rPr>
        <w:t>∈</w:t>
      </w:r>
      <w:r>
        <w:t xml:space="preserve"> [0,12] }</w:t>
      </w:r>
    </w:p>
    <w:p w14:paraId="274138C4" w14:textId="77777777" w:rsidR="004B5F5F" w:rsidRDefault="004B5F5F" w:rsidP="004B5F5F"/>
    <w:p w14:paraId="0C2B8CDA" w14:textId="77777777" w:rsidR="004B5F5F" w:rsidRDefault="004B5F5F" w:rsidP="004B5F5F">
      <w:r>
        <w:t xml:space="preserve">Donde 𝒯 es el operador de transducción multiescalar. </w:t>
      </w:r>
      <w:r>
        <w:rPr>
          <w:rFonts w:ascii="Segoe UI Symbol" w:hAnsi="Segoe UI Symbol" w:cs="Segoe UI Symbol"/>
        </w:rPr>
        <w:t>ℰ</w:t>
      </w:r>
      <w:r>
        <w:t xml:space="preserve">_k es la k-ésima ecuación del modelo TST-TBAC, con k desde 1 hasta 81. </w:t>
      </w:r>
      <w:r>
        <w:rPr>
          <w:rFonts w:ascii="Segoe UI Symbol" w:hAnsi="Segoe UI Symbol" w:cs="Segoe UI Symbol"/>
        </w:rPr>
        <w:t>ℰ</w:t>
      </w:r>
      <w:r>
        <w:t xml:space="preserve">_k^i es la versión de la ecuación </w:t>
      </w:r>
      <w:r>
        <w:rPr>
          <w:rFonts w:ascii="Segoe UI Symbol" w:hAnsi="Segoe UI Symbol" w:cs="Segoe UI Symbol"/>
        </w:rPr>
        <w:t>ℰ</w:t>
      </w:r>
      <w:r>
        <w:t>_k aplicada al escalafón i. La justificación es que cada ecuación del modelo debe aplicarse a cada uno de los trece escalafones. El operador 𝒯 actúa sobre cualquier variable V de la ecuación original reemplazándola por su versión multiescalar V_i, donde el subíndice i indica el escalafón. Las variables macroeconómicas de cada escalafón, como el PIB, la masa monetaria y el factor de confianza, son las que corresponden a ese nivel jerárquico específico. Los acoplamientos entre escalafones se introducen mediante la matriz κ_ij que conecta las variables de diferentes escalafones.</w:t>
      </w:r>
    </w:p>
    <w:p w14:paraId="7DC72BE8" w14:textId="77777777" w:rsidR="004B5F5F" w:rsidRDefault="004B5F5F" w:rsidP="004B5F5F"/>
    <w:p w14:paraId="5CEC63A2" w14:textId="77777777" w:rsidR="004B5F5F" w:rsidRDefault="004B5F5F" w:rsidP="004B5F5F">
      <w:r>
        <w:t xml:space="preserve">La aplicación explícita del operador 𝒯 sobre una ecuación genérica se escribe como sigue. Si </w:t>
      </w:r>
      <w:r>
        <w:rPr>
          <w:rFonts w:ascii="Segoe UI Symbol" w:hAnsi="Segoe UI Symbol" w:cs="Segoe UI Symbol"/>
        </w:rPr>
        <w:t>ℰ</w:t>
      </w:r>
      <w:r>
        <w:t>_k es una ecuación de la forma que se muestra a continuación.</w:t>
      </w:r>
    </w:p>
    <w:p w14:paraId="73B71D88" w14:textId="77777777" w:rsidR="004B5F5F" w:rsidRDefault="004B5F5F" w:rsidP="004B5F5F"/>
    <w:p w14:paraId="52F4E8E2" w14:textId="77777777" w:rsidR="004B5F5F" w:rsidRDefault="004B5F5F" w:rsidP="004B5F5F">
      <w:r>
        <w:rPr>
          <w:rFonts w:ascii="Segoe UI Symbol" w:hAnsi="Segoe UI Symbol" w:cs="Segoe UI Symbol"/>
        </w:rPr>
        <w:t>ℰ</w:t>
      </w:r>
      <w:r>
        <w:t>_k: X = f(Y, Z, W)</w:t>
      </w:r>
    </w:p>
    <w:p w14:paraId="18971752" w14:textId="77777777" w:rsidR="004B5F5F" w:rsidRDefault="004B5F5F" w:rsidP="004B5F5F"/>
    <w:p w14:paraId="776669DF" w14:textId="77777777" w:rsidR="004B5F5F" w:rsidRDefault="004B5F5F" w:rsidP="004B5F5F">
      <w:r>
        <w:t>Entonces su versión transducida se escribe como sigue.</w:t>
      </w:r>
    </w:p>
    <w:p w14:paraId="2EF87BFC" w14:textId="77777777" w:rsidR="004B5F5F" w:rsidRDefault="004B5F5F" w:rsidP="004B5F5F"/>
    <w:p w14:paraId="0DB942A6" w14:textId="77777777" w:rsidR="004B5F5F" w:rsidRDefault="004B5F5F" w:rsidP="004B5F5F">
      <w:r>
        <w:rPr>
          <w:rFonts w:ascii="Segoe UI Symbol" w:hAnsi="Segoe UI Symbol" w:cs="Segoe UI Symbol"/>
        </w:rPr>
        <w:t>ℰ</w:t>
      </w:r>
      <w:r>
        <w:t>_k^i: X_i = f(Y_i, Z_i, W_i, {κ_ij × Y_j}{j≠i}, {κ_ij × Z_j}{j≠i}, {κ_ij × W_j}_{j≠i})</w:t>
      </w:r>
    </w:p>
    <w:p w14:paraId="173E9474" w14:textId="77777777" w:rsidR="004B5F5F" w:rsidRDefault="004B5F5F" w:rsidP="004B5F5F"/>
    <w:p w14:paraId="56D1D7D1" w14:textId="77777777" w:rsidR="004B5F5F" w:rsidRDefault="004B5F5F" w:rsidP="004B5F5F">
      <w:r>
        <w:t>Donde los términos {κ_ij × Y_j}_{j≠i} representan las contribuciones de otros escalafones a la variable Y_i. La justificación es que ninguna variable de un escalafón es independiente de los demás. Cada variable recibe influencia de las variables correspondientes en otros escalafones, ponderadas por el acoplamiento κ_ij.</w:t>
      </w:r>
    </w:p>
    <w:p w14:paraId="4B51572C" w14:textId="77777777" w:rsidR="004B5F5F" w:rsidRDefault="004B5F5F" w:rsidP="004B5F5F"/>
    <w:p w14:paraId="0A8A228E" w14:textId="77777777" w:rsidR="004B5F5F" w:rsidRDefault="004B5F5F" w:rsidP="004B5F5F">
      <w:r>
        <w:t>La consecuencia fundamental es que ninguna ecuación del sistema TST-TBAC queda fuera del modelo multiescalar. Todas las ecuaciones son transducidas a sus versiones para los trece escalafones, totalizando 81 × 13 = 1.053 ecuaciones multiescalares. La justificación es que el sistema debe ser completo en todos los niveles jerárquicos. Si alguna ecuación no se transduce, el sistema queda incompleto en algún escalafón, lo que rompe la coherencia multiescalar.</w:t>
      </w:r>
    </w:p>
    <w:p w14:paraId="705C66D1" w14:textId="77777777" w:rsidR="004B5F5F" w:rsidRDefault="004B5F5F" w:rsidP="004B5F5F"/>
    <w:p w14:paraId="23E159D6" w14:textId="77777777" w:rsidR="004B5F5F" w:rsidRDefault="004B5F5F" w:rsidP="004B5F5F">
      <w:r>
        <w:t>1.5. Datos de entrada</w:t>
      </w:r>
    </w:p>
    <w:p w14:paraId="17402E9A" w14:textId="77777777" w:rsidR="004B5F5F" w:rsidRDefault="004B5F5F" w:rsidP="004B5F5F"/>
    <w:p w14:paraId="144884D8" w14:textId="77777777" w:rsidR="004B5F5F" w:rsidRDefault="004B5F5F" w:rsidP="004B5F5F">
      <w:r>
        <w:t>Para cada escalafón i se definen los siguientes datos de entrada. La masa monetaria del escalafón i, denotada como M2_i. El producto interno bruto del escalafón i, denotado como PIB_i. La capitalización bursátil del escalafón i, denotada como Cap_Bursátil_i. La deuda pública exigible del escalafón i, denotada como Deuda_Pública_i. Los criptobonos, que representan la deuda tokenizada del escalafón i, denotados como Criptobonos_i. La inversión extranjera directa del escalafón i, denotada como IED_i. Los impuestos capitalizados, que representan los ingresos fiscales futuros capitalizados, denotados como Impuestos_Capitalizados_i. Las remesas del escalafón i, denotadas como Remesas_i. Las reservas internacionales del escalafón i, denotadas como Reservas_Internacionales_i. Los activos del Estado del escalafón i, denotados como Activos_Estatales_i. Los recursos naturales del escalafón i, denotados como Recursos_Naturales_i. Los acuerdos comerciales del escalafón i, denotados como Acuerdos_Comerciales_i. El capital humano indexado del escalafón i, denotado como Capital_Humano_Indexado_i. El posicionamiento geopolítico indexado del escalafón i, denotado como Posicionamiento_Geopolítico_Indexado_i. La tasa de interés nacional del escalafón i, denotada como i_nacional_i. La tasa de interés internacional de referencia, denotada como i_internacional_i. La inflación interanual del escalafón i, denotada como π_i. El crecimiento real del PIB del escalafón i, denotado como g_real_i. La prima de riesgo soberano del escalafón i, denotada como ρ_soberano_i. El índice de precios al consumidor del escalafón i, denotado como IPC_i. La volatilidad del factor de revalorización del escalafón i, denotada como σ_R_i. El tipo de cambio de mercado de la moneda del escalafón i frente al dólar, denotado como TC_Forex_i.</w:t>
      </w:r>
    </w:p>
    <w:p w14:paraId="3D1CFD1A" w14:textId="77777777" w:rsidR="004B5F5F" w:rsidRDefault="004B5F5F" w:rsidP="004B5F5F"/>
    <w:p w14:paraId="1C26B5D9" w14:textId="77777777" w:rsidR="004B5F5F" w:rsidRDefault="004B5F5F" w:rsidP="004B5F5F">
      <w:r>
        <w:t>La deuda mundial se calcula como la suma ponderada de las deudas de todos los escalafones, según la fórmula que se muestra a continuación.</w:t>
      </w:r>
    </w:p>
    <w:p w14:paraId="141B12C9" w14:textId="77777777" w:rsidR="004B5F5F" w:rsidRDefault="004B5F5F" w:rsidP="004B5F5F"/>
    <w:p w14:paraId="6DAC7166" w14:textId="77777777" w:rsidR="004B5F5F" w:rsidRDefault="004B5F5F" w:rsidP="004B5F5F">
      <w:r>
        <w:t>Deuda_Mundial = Σ_{i=0}^{12} β_i × Deuda_Pública_i</w:t>
      </w:r>
    </w:p>
    <w:p w14:paraId="0B8741BB" w14:textId="77777777" w:rsidR="004B5F5F" w:rsidRDefault="004B5F5F" w:rsidP="004B5F5F"/>
    <w:p w14:paraId="5EF15728" w14:textId="77777777" w:rsidR="004B5F5F" w:rsidRDefault="004B5F5F" w:rsidP="004B5F5F">
      <w:r>
        <w:t>Donde β_i es el peso del escalafón i. La justificación es que la deuda mundial no es la suma simple de las deudas, sino la suma ponderada por la importancia relativa de cada escalafón. Un escalafón con mayor peso contribuye más a la deuda mundial.</w:t>
      </w:r>
    </w:p>
    <w:p w14:paraId="6BA98A85" w14:textId="77777777" w:rsidR="004B5F5F" w:rsidRDefault="004B5F5F" w:rsidP="004B5F5F"/>
    <w:p w14:paraId="62340D38" w14:textId="77777777" w:rsidR="004B5F5F" w:rsidRDefault="004B5F5F" w:rsidP="004B5F5F">
      <w:r>
        <w:t>---</w:t>
      </w:r>
    </w:p>
    <w:p w14:paraId="01EC15C2" w14:textId="77777777" w:rsidR="004B5F5F" w:rsidRDefault="004B5F5F" w:rsidP="004B5F5F"/>
    <w:p w14:paraId="590B62FB" w14:textId="77777777" w:rsidR="004B5F5F" w:rsidRDefault="004B5F5F" w:rsidP="004B5F5F">
      <w:r>
        <w:t>PARTE II: LAS TRES FÓRMULAS FUNDAMENTALES</w:t>
      </w:r>
    </w:p>
    <w:p w14:paraId="24E1172C" w14:textId="77777777" w:rsidR="004B5F5F" w:rsidRDefault="004B5F5F" w:rsidP="004B5F5F"/>
    <w:p w14:paraId="6A42B13F" w14:textId="77777777" w:rsidR="004B5F5F" w:rsidRDefault="004B5F5F" w:rsidP="004B5F5F">
      <w:r>
        <w:t>2.1. La fórmula Forex</w:t>
      </w:r>
    </w:p>
    <w:p w14:paraId="1B96BBEB" w14:textId="77777777" w:rsidR="004B5F5F" w:rsidRDefault="004B5F5F" w:rsidP="004B5F5F"/>
    <w:p w14:paraId="00B3EDC8" w14:textId="77777777" w:rsidR="004B5F5F" w:rsidRDefault="004B5F5F" w:rsidP="004B5F5F">
      <w:r>
        <w:t>El mercado Forex cotiza el precio de una moneda en términos de otra. La fórmula del tipo de cambio Forex entre dos monedas i y j se escribe como sigue.</w:t>
      </w:r>
    </w:p>
    <w:p w14:paraId="11B5C91B" w14:textId="77777777" w:rsidR="004B5F5F" w:rsidRDefault="004B5F5F" w:rsidP="004B5F5F"/>
    <w:p w14:paraId="05F0D42D" w14:textId="77777777" w:rsidR="004B5F5F" w:rsidRDefault="004B5F5F" w:rsidP="004B5F5F">
      <w:r>
        <w:t>TC_Forex_ij = OC_ij / OV_ij</w:t>
      </w:r>
    </w:p>
    <w:p w14:paraId="03086648" w14:textId="77777777" w:rsidR="004B5F5F" w:rsidRDefault="004B5F5F" w:rsidP="004B5F5F"/>
    <w:p w14:paraId="74487C28" w14:textId="77777777" w:rsidR="004B5F5F" w:rsidRDefault="004B5F5F" w:rsidP="004B5F5F">
      <w:r>
        <w:t>Donde TC_Forex_ij es el tipo de cambio Forex entre la moneda del escalafón i y la moneda del escalafón j. OC_ij son las órdenes de compra de la moneda i en el mercado de divisas. OV_ij son las órdenes de venta de la moneda i en el mercado de divisas. La justificación de esta fórmula es que el precio de mercado se forma por el cruce de órdenes. Si las órdenes de compra superan a las órdenes de venta, el cociente es mayor que uno, y el precio sube. Si las órdenes de venta superan a las órdenes de compra, el cociente es menor que uno, y el precio baja. Si las órdenes de compra igualan a las órdenes de venta, el cociente es igual a uno, y el precio se mantiene estable.</w:t>
      </w:r>
    </w:p>
    <w:p w14:paraId="1BD0023C" w14:textId="77777777" w:rsidR="004B5F5F" w:rsidRDefault="004B5F5F" w:rsidP="004B5F5F"/>
    <w:p w14:paraId="15F275C4" w14:textId="77777777" w:rsidR="004B5F5F" w:rsidRDefault="004B5F5F" w:rsidP="004B5F5F">
      <w:r>
        <w:t>Esta fórmula no mide el valor de la moneda. Mide la presión de la demanda sobre la oferta en un momento dado. La justificación es que las órdenes de compra y venta son flujos, no stocks. Representan la intención de comprar o vender en un instante, no la cantidad total de dinero en circulación. Por lo tanto, el tipo de cambio Forex es un ratio de flujos, no un precio de valor.</w:t>
      </w:r>
    </w:p>
    <w:p w14:paraId="119C9C00" w14:textId="77777777" w:rsidR="004B5F5F" w:rsidRDefault="004B5F5F" w:rsidP="004B5F5F"/>
    <w:p w14:paraId="40195D87" w14:textId="77777777" w:rsidR="004B5F5F" w:rsidRDefault="004B5F5F" w:rsidP="004B5F5F">
      <w:r>
        <w:t>2.2. La fórmula de oferta y demanda de la masa monetaria</w:t>
      </w:r>
    </w:p>
    <w:p w14:paraId="2825E05B" w14:textId="77777777" w:rsidR="004B5F5F" w:rsidRDefault="004B5F5F" w:rsidP="004B5F5F"/>
    <w:p w14:paraId="501CD481" w14:textId="77777777" w:rsidR="004B5F5F" w:rsidRDefault="004B5F5F" w:rsidP="004B5F5F">
      <w:r>
        <w:t>La masa monetaria de un país i se denota como M2_i. La masa monetaria de un país j se denota como M2_j. La oferta relativa de masa monetaria entre i y j se escribe como sigue.</w:t>
      </w:r>
    </w:p>
    <w:p w14:paraId="7D1143B5" w14:textId="77777777" w:rsidR="004B5F5F" w:rsidRDefault="004B5F5F" w:rsidP="004B5F5F"/>
    <w:p w14:paraId="1A5F77B5" w14:textId="77777777" w:rsidR="004B5F5F" w:rsidRDefault="004B5F5F" w:rsidP="004B5F5F">
      <w:r>
        <w:t>O_ij = M2_i / M2_j</w:t>
      </w:r>
    </w:p>
    <w:p w14:paraId="5B802575" w14:textId="77777777" w:rsidR="004B5F5F" w:rsidRDefault="004B5F5F" w:rsidP="004B5F5F"/>
    <w:p w14:paraId="5E29D703" w14:textId="77777777" w:rsidR="004B5F5F" w:rsidRDefault="004B5F5F" w:rsidP="004B5F5F">
      <w:r>
        <w:t>Donde O_ij es la oferta relativa de masa monetaria entre i y j. La justificación es que la oferta relativa mide cuántas veces es mayor la masa monetaria de i que la de j. Si O_ij es mayor que uno, i tiene más dinero que j. Si O_ij es menor que uno, i tiene menos dinero que j.</w:t>
      </w:r>
    </w:p>
    <w:p w14:paraId="062A824F" w14:textId="77777777" w:rsidR="004B5F5F" w:rsidRDefault="004B5F5F" w:rsidP="004B5F5F"/>
    <w:p w14:paraId="27D5B99D" w14:textId="77777777" w:rsidR="004B5F5F" w:rsidRDefault="004B5F5F" w:rsidP="004B5F5F">
      <w:r>
        <w:t>La demanda relativa de masa monetaria entre i y j se escribe como sigue.</w:t>
      </w:r>
    </w:p>
    <w:p w14:paraId="4D3E7641" w14:textId="77777777" w:rsidR="004B5F5F" w:rsidRDefault="004B5F5F" w:rsidP="004B5F5F"/>
    <w:p w14:paraId="704B7A9F" w14:textId="77777777" w:rsidR="004B5F5F" w:rsidRDefault="004B5F5F" w:rsidP="004B5F5F">
      <w:r>
        <w:t>D_ij = L_i / L_j</w:t>
      </w:r>
    </w:p>
    <w:p w14:paraId="1AAC0BE4" w14:textId="77777777" w:rsidR="004B5F5F" w:rsidRDefault="004B5F5F" w:rsidP="004B5F5F"/>
    <w:p w14:paraId="5550F37B" w14:textId="77777777" w:rsidR="004B5F5F" w:rsidRDefault="004B5F5F" w:rsidP="004B5F5F">
      <w:r>
        <w:t>Donde D_ij es la demanda relativa de masa monetaria entre i y j. L_i es la demanda de dinero del país i. L_j es la demanda de dinero del país j. La justificación es que la demanda relativa mide cuántas veces es mayor la demanda de dinero de i que la de j. Si D_ij es mayor que uno, la gente de i quiere tener más dinero que la de j. Si D_ij es menor que uno, la gente de i quiere tener menos dinero que la de j.</w:t>
      </w:r>
    </w:p>
    <w:p w14:paraId="1D99A4BB" w14:textId="77777777" w:rsidR="004B5F5F" w:rsidRDefault="004B5F5F" w:rsidP="004B5F5F"/>
    <w:p w14:paraId="2A5154C1" w14:textId="77777777" w:rsidR="004B5F5F" w:rsidRDefault="004B5F5F" w:rsidP="004B5F5F">
      <w:r>
        <w:t>La fórmula de oferta y demanda de la masa monetaria entre i y j se escribe como sigue.</w:t>
      </w:r>
    </w:p>
    <w:p w14:paraId="0D2D3A25" w14:textId="77777777" w:rsidR="004B5F5F" w:rsidRDefault="004B5F5F" w:rsidP="004B5F5F"/>
    <w:p w14:paraId="1B1C629A" w14:textId="77777777" w:rsidR="004B5F5F" w:rsidRDefault="004B5F5F" w:rsidP="004B5F5F">
      <w:r>
        <w:t>R_OD_ij = O_ij / D_ij = (M2_i / M2_j) / (L_i / L_j)</w:t>
      </w:r>
    </w:p>
    <w:p w14:paraId="2AFF7A86" w14:textId="77777777" w:rsidR="004B5F5F" w:rsidRDefault="004B5F5F" w:rsidP="004B5F5F"/>
    <w:p w14:paraId="260C3295" w14:textId="77777777" w:rsidR="004B5F5F" w:rsidRDefault="004B5F5F" w:rsidP="004B5F5F">
      <w:r>
        <w:t>Donde R_OD_ij es el ratio de oferta y demanda de masa monetaria entre i y j. La justificación es que el ratio de oferta y demanda mide el desequilibrio entre la cantidad de dinero disponible y la cantidad de dinero que la gente quiere tener. Si R_OD_ij es mayor que uno, hay exceso de oferta de dinero, y el precio del dinero debería bajar. Si R_OD_ij es menor que uno, hay exceso de demanda de dinero, y el precio del dinero debería subir. Si R_OD_ij es igual a uno, el mercado monetario está en equilibrio.</w:t>
      </w:r>
    </w:p>
    <w:p w14:paraId="3CFD580B" w14:textId="77777777" w:rsidR="004B5F5F" w:rsidRDefault="004B5F5F" w:rsidP="004B5F5F"/>
    <w:p w14:paraId="5E2776A2" w14:textId="77777777" w:rsidR="004B5F5F" w:rsidRDefault="004B5F5F" w:rsidP="004B5F5F">
      <w:r>
        <w:t>Reordenando los términos, la fórmula se escribe como sigue.</w:t>
      </w:r>
    </w:p>
    <w:p w14:paraId="2AFF207C" w14:textId="77777777" w:rsidR="004B5F5F" w:rsidRDefault="004B5F5F" w:rsidP="004B5F5F"/>
    <w:p w14:paraId="188E03A6" w14:textId="77777777" w:rsidR="004B5F5F" w:rsidRDefault="004B5F5F" w:rsidP="004B5F5F">
      <w:r>
        <w:t>R_OD_ij = (M2_i / L_i) / (M2_j / L_j)</w:t>
      </w:r>
    </w:p>
    <w:p w14:paraId="1B2EBF8A" w14:textId="77777777" w:rsidR="004B5F5F" w:rsidRDefault="004B5F5F" w:rsidP="004B5F5F"/>
    <w:p w14:paraId="6B76C881" w14:textId="77777777" w:rsidR="004B5F5F" w:rsidRDefault="004B5F5F" w:rsidP="004B5F5F">
      <w:r>
        <w:t>Donde M2_i / L_i es la relación entre la masa monetaria y la demanda de dinero del país i. M2_j / L_j es la relación entre la masa monetaria y la demanda de dinero del país j. La justificación es que el ratio de oferta y demanda entre dos países es el cociente entre sus respectivas relaciones de masa monetaria a demanda de dinero. Un país con alta masa monetaria y baja demanda de dinero tiene un ratio alto, lo que significa que su moneda tiende a depreciarse.</w:t>
      </w:r>
    </w:p>
    <w:p w14:paraId="46F6DF9E" w14:textId="77777777" w:rsidR="004B5F5F" w:rsidRDefault="004B5F5F" w:rsidP="004B5F5F"/>
    <w:p w14:paraId="07ED99D4" w14:textId="77777777" w:rsidR="004B5F5F" w:rsidRDefault="004B5F5F" w:rsidP="004B5F5F">
      <w:r>
        <w:t>2.3. La fórmula de índice</w:t>
      </w:r>
    </w:p>
    <w:p w14:paraId="4132FCEF" w14:textId="77777777" w:rsidR="004B5F5F" w:rsidRDefault="004B5F5F" w:rsidP="004B5F5F"/>
    <w:p w14:paraId="5C1E2906" w14:textId="77777777" w:rsidR="004B5F5F" w:rsidRDefault="004B5F5F" w:rsidP="004B5F5F">
      <w:r>
        <w:t>Un índice es un número que expresa el valor de una variable en un momento dado en relación con su valor en un período de referencia. La fórmula general de un índice se escribe como sigue.</w:t>
      </w:r>
    </w:p>
    <w:p w14:paraId="0C18C0F8" w14:textId="77777777" w:rsidR="004B5F5F" w:rsidRDefault="004B5F5F" w:rsidP="004B5F5F"/>
    <w:p w14:paraId="2CAFB240" w14:textId="77777777" w:rsidR="004B5F5F" w:rsidRDefault="004B5F5F" w:rsidP="004B5F5F">
      <w:r>
        <w:t>I(t) = 100 × (X(t) / X(t_0))</w:t>
      </w:r>
    </w:p>
    <w:p w14:paraId="6B561804" w14:textId="77777777" w:rsidR="004B5F5F" w:rsidRDefault="004B5F5F" w:rsidP="004B5F5F"/>
    <w:p w14:paraId="60E43854" w14:textId="77777777" w:rsidR="004B5F5F" w:rsidRDefault="004B5F5F" w:rsidP="004B5F5F">
      <w:r>
        <w:t>Donde I(t) es el valor del índice en el momento t. X(t) es el valor de la variable en el momento t. X(t_0) es el valor de la variable en el período de referencia t_0. La justificación es que el índice normaliza el valor de la variable para que sea igual a cien en el período de referencia. Esto permite comparar la evolución de la variable a lo largo del tiempo sin que importen las unidades originales.</w:t>
      </w:r>
    </w:p>
    <w:p w14:paraId="2E51D77E" w14:textId="77777777" w:rsidR="004B5F5F" w:rsidRDefault="004B5F5F" w:rsidP="004B5F5F"/>
    <w:p w14:paraId="14C4C29C" w14:textId="77777777" w:rsidR="004B5F5F" w:rsidRDefault="004B5F5F" w:rsidP="004B5F5F">
      <w:r>
        <w:t>Aplicando esta fórmula al ratio de oferta y demanda de la masa monetaria, el índice de oferta y demanda entre i y j en el momento t se escribe como sigue.</w:t>
      </w:r>
    </w:p>
    <w:p w14:paraId="5B6A993C" w14:textId="77777777" w:rsidR="004B5F5F" w:rsidRDefault="004B5F5F" w:rsidP="004B5F5F"/>
    <w:p w14:paraId="23858657" w14:textId="77777777" w:rsidR="004B5F5F" w:rsidRDefault="004B5F5F" w:rsidP="004B5F5F">
      <w:r>
        <w:t>I_OD_ij(t) = 100 × (R_OD_ij(t) / R_OD_ij(t_0))</w:t>
      </w:r>
    </w:p>
    <w:p w14:paraId="547F6E87" w14:textId="77777777" w:rsidR="004B5F5F" w:rsidRDefault="004B5F5F" w:rsidP="004B5F5F"/>
    <w:p w14:paraId="37C0105A" w14:textId="77777777" w:rsidR="004B5F5F" w:rsidRDefault="004B5F5F" w:rsidP="004B5F5F">
      <w:r>
        <w:t>Donde I_OD_ij(t) es el índice de oferta y demanda entre i y j en el momento t. R_OD_ij(t) es el ratio de oferta y demanda en el momento t. R_OD_ij(t_0) es el ratio de oferta y demanda en el período de referencia t_0. La justificación es que este índice permite comparar la evolución del desequilibrio monetario a lo largo del tiempo. Si el índice sube, el desequilibrio aumenta. Si el índice baja, el desequilibrio disminuye. Si el índice se mantiene en cien, el desequilibrio es el mismo que en el período de referencia.</w:t>
      </w:r>
    </w:p>
    <w:p w14:paraId="5E402855" w14:textId="77777777" w:rsidR="004B5F5F" w:rsidRDefault="004B5F5F" w:rsidP="004B5F5F"/>
    <w:p w14:paraId="5E582456" w14:textId="77777777" w:rsidR="004B5F5F" w:rsidRDefault="004B5F5F" w:rsidP="004B5F5F">
      <w:r>
        <w:t>Sustituyendo la fórmula del ratio de oferta y demanda en la fórmula del índice, se obtiene lo siguiente.</w:t>
      </w:r>
    </w:p>
    <w:p w14:paraId="7676E0D0" w14:textId="77777777" w:rsidR="004B5F5F" w:rsidRDefault="004B5F5F" w:rsidP="004B5F5F"/>
    <w:p w14:paraId="499B8924" w14:textId="77777777" w:rsidR="004B5F5F" w:rsidRDefault="004B5F5F" w:rsidP="004B5F5F">
      <w:r>
        <w:t>I_OD_ij(t) = 100 × [ (M2_i(t) / M2_j(t)) / (L_i(t) / L_j(t)) ] / [ (M2_i(t_0) / M2_j(t_0)) / (L_i(t_0) / L_j(t_0)) ]</w:t>
      </w:r>
    </w:p>
    <w:p w14:paraId="6EE91466" w14:textId="77777777" w:rsidR="004B5F5F" w:rsidRDefault="004B5F5F" w:rsidP="004B5F5F"/>
    <w:p w14:paraId="7EC08396" w14:textId="77777777" w:rsidR="004B5F5F" w:rsidRDefault="004B5F5F" w:rsidP="004B5F5F">
      <w:r>
        <w:t>Reordenando los términos, se obtiene lo siguiente.</w:t>
      </w:r>
    </w:p>
    <w:p w14:paraId="3A851F7B" w14:textId="77777777" w:rsidR="004B5F5F" w:rsidRDefault="004B5F5F" w:rsidP="004B5F5F"/>
    <w:p w14:paraId="2015939E" w14:textId="77777777" w:rsidR="004B5F5F" w:rsidRDefault="004B5F5F" w:rsidP="004B5F5F">
      <w:r>
        <w:t>I_OD_ij(t) = 100 × [ (M2_i(t) / M2_i(t_0)) / (M2_j(t) / M2_j(t_0)) ] / [ (L_i(t) / L_i(t_0)) / (L_j(t) / L_j(t_0)) ]</w:t>
      </w:r>
    </w:p>
    <w:p w14:paraId="76CCD762" w14:textId="77777777" w:rsidR="004B5F5F" w:rsidRDefault="004B5F5F" w:rsidP="004B5F5F"/>
    <w:p w14:paraId="2B6FB347" w14:textId="77777777" w:rsidR="004B5F5F" w:rsidRDefault="004B5F5F" w:rsidP="004B5F5F">
      <w:r>
        <w:t>La justificación es que el índice de oferta y demanda es el cociente entre el índice de masa monetaria relativa y el índice de demanda de dinero relativa. Si la masa monetaria de i crece más que la de j, el numerador sube. Si la demanda de dinero de i crece más que la de j, el denominador sube. El índice resultante captura el efecto neto de ambos movimientos.</w:t>
      </w:r>
    </w:p>
    <w:p w14:paraId="773D7B30" w14:textId="77777777" w:rsidR="004B5F5F" w:rsidRDefault="004B5F5F" w:rsidP="004B5F5F"/>
    <w:p w14:paraId="0CABDCD2" w14:textId="77777777" w:rsidR="004B5F5F" w:rsidRDefault="004B5F5F" w:rsidP="004B5F5F">
      <w:r>
        <w:t>2.4. La relación entre las tres fórmulas</w:t>
      </w:r>
    </w:p>
    <w:p w14:paraId="38432BD9" w14:textId="77777777" w:rsidR="004B5F5F" w:rsidRDefault="004B5F5F" w:rsidP="004B5F5F"/>
    <w:p w14:paraId="03F5E938" w14:textId="77777777" w:rsidR="004B5F5F" w:rsidRDefault="004B5F5F" w:rsidP="004B5F5F">
      <w:r>
        <w:t>La relación entre las tres fórmulas es la siguiente. La fórmula Forex es un caso particular de la fórmula de oferta y demanda de la masa monetaria cuando se aplica al mercado de divisas y se expresa en términos de órdenes de compra y venta. La fórmula de oferta y demanda de la masa monetaria es la forma general del ratio que subyace al tipo de cambio. La fórmula de índice es la normalización de ese ratio para permitir comparaciones temporales. En consecuencia, el tipo de cambio Forex no es más que un índice de oferta y demanda de la masa monetaria expresado en forma de precio. No es el precio real de la moneda. Es un índice que refleja la relación entre la oferta y la demanda de dinero en un momento dado.</w:t>
      </w:r>
    </w:p>
    <w:p w14:paraId="0C00C477" w14:textId="77777777" w:rsidR="004B5F5F" w:rsidRDefault="004B5F5F" w:rsidP="004B5F5F"/>
    <w:p w14:paraId="147DC8C6" w14:textId="77777777" w:rsidR="004B5F5F" w:rsidRDefault="004B5F5F" w:rsidP="004B5F5F">
      <w:r>
        <w:t>Si se sustituye la fórmula de oferta y demanda en la fórmula Forex, se obtiene lo siguiente.</w:t>
      </w:r>
    </w:p>
    <w:p w14:paraId="388C089B" w14:textId="77777777" w:rsidR="004B5F5F" w:rsidRDefault="004B5F5F" w:rsidP="004B5F5F"/>
    <w:p w14:paraId="6F32F062" w14:textId="77777777" w:rsidR="004B5F5F" w:rsidRDefault="004B5F5F" w:rsidP="004B5F5F">
      <w:r>
        <w:t>TC_Forex_ij = (M2_i / M2_j) / (L_i / L_j)</w:t>
      </w:r>
    </w:p>
    <w:p w14:paraId="103CC3C9" w14:textId="77777777" w:rsidR="004B5F5F" w:rsidRDefault="004B5F5F" w:rsidP="004B5F5F"/>
    <w:p w14:paraId="062FA3F4" w14:textId="77777777" w:rsidR="004B5F5F" w:rsidRDefault="004B5F5F" w:rsidP="004B5F5F">
      <w:r>
        <w:t>Esta es la misma expresión que la fórmula de oferta y demanda de la masa monetaria. Por lo tanto, el tipo de cambio Forex y el ratio de oferta y demanda de la masa monetaria son la misma cosa, expresada de dos maneras distintas. El Forex es el ratio de oferta y demanda de la masa monetaria disfrazado de precio. El índice es ese mismo ratio normalizado.</w:t>
      </w:r>
    </w:p>
    <w:p w14:paraId="6CB18860" w14:textId="77777777" w:rsidR="004B5F5F" w:rsidRDefault="004B5F5F" w:rsidP="004B5F5F"/>
    <w:p w14:paraId="71C9C8AD" w14:textId="77777777" w:rsidR="004B5F5F" w:rsidRDefault="004B5F5F" w:rsidP="004B5F5F">
      <w:r>
        <w:t>2.5. La demostración formal</w:t>
      </w:r>
    </w:p>
    <w:p w14:paraId="65249426" w14:textId="77777777" w:rsidR="004B5F5F" w:rsidRDefault="004B5F5F" w:rsidP="004B5F5F"/>
    <w:p w14:paraId="47546705" w14:textId="77777777" w:rsidR="004B5F5F" w:rsidRDefault="004B5F5F" w:rsidP="004B5F5F">
      <w:r>
        <w:t>Partimos de la fórmula Forex expresada como cociente de órdenes de compra y venta.</w:t>
      </w:r>
    </w:p>
    <w:p w14:paraId="0C011644" w14:textId="77777777" w:rsidR="004B5F5F" w:rsidRDefault="004B5F5F" w:rsidP="004B5F5F"/>
    <w:p w14:paraId="20BFF450" w14:textId="77777777" w:rsidR="004B5F5F" w:rsidRDefault="004B5F5F" w:rsidP="004B5F5F">
      <w:r>
        <w:t>TC_Forex_ij = OC_ij / OV_ij</w:t>
      </w:r>
    </w:p>
    <w:p w14:paraId="7F0C7115" w14:textId="77777777" w:rsidR="004B5F5F" w:rsidRDefault="004B5F5F" w:rsidP="004B5F5F"/>
    <w:p w14:paraId="1B5B3289" w14:textId="77777777" w:rsidR="004B5F5F" w:rsidRDefault="004B5F5F" w:rsidP="004B5F5F">
      <w:r>
        <w:t>Las órdenes de compra de la moneda i en el mercado de divisas son proporcionales a la demanda de dinero del país i.</w:t>
      </w:r>
    </w:p>
    <w:p w14:paraId="14AE67A5" w14:textId="77777777" w:rsidR="004B5F5F" w:rsidRDefault="004B5F5F" w:rsidP="004B5F5F"/>
    <w:p w14:paraId="01CAEF6D" w14:textId="77777777" w:rsidR="004B5F5F" w:rsidRDefault="004B5F5F" w:rsidP="004B5F5F">
      <w:r>
        <w:t>OC_ij = α × L_i</w:t>
      </w:r>
    </w:p>
    <w:p w14:paraId="614FCAD7" w14:textId="77777777" w:rsidR="004B5F5F" w:rsidRDefault="004B5F5F" w:rsidP="004B5F5F"/>
    <w:p w14:paraId="4D257452" w14:textId="77777777" w:rsidR="004B5F5F" w:rsidRDefault="004B5F5F" w:rsidP="004B5F5F">
      <w:r>
        <w:t>Las órdenes de venta de la moneda i en el mercado de divisas son proporcionales a la oferta de dinero del país i, que es la masa monetaria M2_i.</w:t>
      </w:r>
    </w:p>
    <w:p w14:paraId="30EC52F2" w14:textId="77777777" w:rsidR="004B5F5F" w:rsidRDefault="004B5F5F" w:rsidP="004B5F5F"/>
    <w:p w14:paraId="7536C9A1" w14:textId="77777777" w:rsidR="004B5F5F" w:rsidRDefault="004B5F5F" w:rsidP="004B5F5F">
      <w:r>
        <w:t>OV_ij = α × M2_i</w:t>
      </w:r>
    </w:p>
    <w:p w14:paraId="51E21CC6" w14:textId="77777777" w:rsidR="004B5F5F" w:rsidRDefault="004B5F5F" w:rsidP="004B5F5F"/>
    <w:p w14:paraId="6A76B85C" w14:textId="77777777" w:rsidR="004B5F5F" w:rsidRDefault="004B5F5F" w:rsidP="004B5F5F">
      <w:r>
        <w:t>Sustituyendo estas dos expresiones en la fórmula Forex, se obtiene lo siguiente.</w:t>
      </w:r>
    </w:p>
    <w:p w14:paraId="678B98DB" w14:textId="77777777" w:rsidR="004B5F5F" w:rsidRDefault="004B5F5F" w:rsidP="004B5F5F"/>
    <w:p w14:paraId="7173F7ED" w14:textId="77777777" w:rsidR="004B5F5F" w:rsidRDefault="004B5F5F" w:rsidP="004B5F5F">
      <w:r>
        <w:t>TC_Forex_ij = (α × L_i) / (α × M2_i) = L_i / M2_i</w:t>
      </w:r>
    </w:p>
    <w:p w14:paraId="08FB2E4C" w14:textId="77777777" w:rsidR="004B5F5F" w:rsidRDefault="004B5F5F" w:rsidP="004B5F5F"/>
    <w:p w14:paraId="272BBC01" w14:textId="77777777" w:rsidR="004B5F5F" w:rsidRDefault="004B5F5F" w:rsidP="004B5F5F">
      <w:r>
        <w:t>Esta expresión es el cociente entre la demanda de dinero y la masa monetaria del país i. Pero el tipo de cambio Forex entre i y j debe incluir también la relación con el país j. Para ello, se multiplica y se divide por la misma expresión del país j.</w:t>
      </w:r>
    </w:p>
    <w:p w14:paraId="53D83426" w14:textId="77777777" w:rsidR="004B5F5F" w:rsidRDefault="004B5F5F" w:rsidP="004B5F5F"/>
    <w:p w14:paraId="28558214" w14:textId="77777777" w:rsidR="004B5F5F" w:rsidRDefault="004B5F5F" w:rsidP="004B5F5F">
      <w:r>
        <w:t>TC_Forex_ij = (L_i / M2_i) × (M2_j / L_j)</w:t>
      </w:r>
    </w:p>
    <w:p w14:paraId="736BFECC" w14:textId="77777777" w:rsidR="004B5F5F" w:rsidRDefault="004B5F5F" w:rsidP="004B5F5F"/>
    <w:p w14:paraId="111AC788" w14:textId="77777777" w:rsidR="004B5F5F" w:rsidRDefault="004B5F5F" w:rsidP="004B5F5F">
      <w:r>
        <w:t>Reordenando los términos, se obtiene lo siguiente.</w:t>
      </w:r>
    </w:p>
    <w:p w14:paraId="4B6563C7" w14:textId="77777777" w:rsidR="004B5F5F" w:rsidRDefault="004B5F5F" w:rsidP="004B5F5F"/>
    <w:p w14:paraId="0BB1AC0D" w14:textId="77777777" w:rsidR="004B5F5F" w:rsidRDefault="004B5F5F" w:rsidP="004B5F5F">
      <w:r>
        <w:t>TC_Forex_ij = (M2_j / M2_i) × (L_i / L_j)</w:t>
      </w:r>
    </w:p>
    <w:p w14:paraId="3A2231A2" w14:textId="77777777" w:rsidR="004B5F5F" w:rsidRDefault="004B5F5F" w:rsidP="004B5F5F"/>
    <w:p w14:paraId="4CD6F58F" w14:textId="77777777" w:rsidR="004B5F5F" w:rsidRDefault="004B5F5F" w:rsidP="004B5F5F">
      <w:r>
        <w:t>Invirtiendo el numerador y el denominador, se obtiene lo siguiente.</w:t>
      </w:r>
    </w:p>
    <w:p w14:paraId="6D974364" w14:textId="77777777" w:rsidR="004B5F5F" w:rsidRDefault="004B5F5F" w:rsidP="004B5F5F"/>
    <w:p w14:paraId="5F01485D" w14:textId="77777777" w:rsidR="004B5F5F" w:rsidRDefault="004B5F5F" w:rsidP="004B5F5F">
      <w:r>
        <w:t>TC_Forex_ij = (M2_i / M2_j) / (L_i / L_j)</w:t>
      </w:r>
    </w:p>
    <w:p w14:paraId="4F420D7F" w14:textId="77777777" w:rsidR="004B5F5F" w:rsidRDefault="004B5F5F" w:rsidP="004B5F5F"/>
    <w:p w14:paraId="340CA8B0" w14:textId="77777777" w:rsidR="004B5F5F" w:rsidRDefault="004B5F5F" w:rsidP="004B5F5F">
      <w:r>
        <w:t>Esta es exactamente la fórmula de oferta y demanda de la masa monetaria. Por lo tanto, el tipo de cambio Forex es, matemáticamente, un ratio de oferta y demanda de la masa monetaria. No es un precio de valor. Es un índice de desequilibrio monetario.</w:t>
      </w:r>
    </w:p>
    <w:p w14:paraId="64B042D3" w14:textId="77777777" w:rsidR="004B5F5F" w:rsidRDefault="004B5F5F" w:rsidP="004B5F5F"/>
    <w:p w14:paraId="59007F27" w14:textId="77777777" w:rsidR="004B5F5F" w:rsidRDefault="004B5F5F" w:rsidP="004B5F5F">
      <w:r>
        <w:t>La justificación de cada paso es la siguiente. El primer paso define el tipo de cambio Forex como cociente de órdenes. El segundo paso define las órdenes de compra como proporcionales a la demanda de dinero. El tercer paso define las órdenes de venta como proporcionales a la masa monetaria. El cuarto paso sustituye y simplifica. El quinto paso introduce la relación con el país j. El sexto paso reordena. El séptimo paso invierte para obtener la forma estándar. El octavo paso concluye que el tipo de cambio Forex es el ratio de oferta y demanda.</w:t>
      </w:r>
    </w:p>
    <w:p w14:paraId="031AE798" w14:textId="77777777" w:rsidR="004B5F5F" w:rsidRDefault="004B5F5F" w:rsidP="004B5F5F"/>
    <w:p w14:paraId="3A335F54" w14:textId="77777777" w:rsidR="004B5F5F" w:rsidRDefault="004B5F5F" w:rsidP="004B5F5F">
      <w:r>
        <w:t>2.6. La implicación fundamental</w:t>
      </w:r>
    </w:p>
    <w:p w14:paraId="5FDCDA54" w14:textId="77777777" w:rsidR="004B5F5F" w:rsidRDefault="004B5F5F" w:rsidP="004B5F5F"/>
    <w:p w14:paraId="36B0BDEE" w14:textId="77777777" w:rsidR="004B5F5F" w:rsidRDefault="004B5F5F" w:rsidP="004B5F5F">
      <w:r>
        <w:t>La implicación fundamental de esta demostración es que el mercado Forex no mide el valor de la moneda. Mide la relación entre la oferta y la demanda de masa monetaria en un momento dado. Esta relación puede estar influida por la especulación, las expectativas, las tasas de interés, la inflación, el riesgo país y muchos otros factores. Pero el resultado final es siempre un ratio de oferta y demanda. No es un precio de valor. Es un índice. Por lo tanto, el mercado Forex no sirve para fijar el precio de una moneda. Sirve para mostrar un índice de oferta y demanda de la masa monetaria.</w:t>
      </w:r>
    </w:p>
    <w:p w14:paraId="35731F24" w14:textId="77777777" w:rsidR="004B5F5F" w:rsidRDefault="004B5F5F" w:rsidP="004B5F5F"/>
    <w:p w14:paraId="1C7E6D17" w14:textId="77777777" w:rsidR="004B5F5F" w:rsidRDefault="004B5F5F" w:rsidP="004B5F5F">
      <w:r>
        <w:t>El precio real de la moneda es el factor de revalorización estructural del TST-TBAC, que se calcula con la Fórmula B ampliada con deuda. La Fórmula B ampliada con deuda se escribe como sigue.</w:t>
      </w:r>
    </w:p>
    <w:p w14:paraId="392BC9FF" w14:textId="77777777" w:rsidR="004B5F5F" w:rsidRDefault="004B5F5F" w:rsidP="004B5F5F"/>
    <w:p w14:paraId="5FF10FC8" w14:textId="77777777" w:rsidR="004B5F5F" w:rsidRDefault="004B5F5F" w:rsidP="004B5F5F">
      <w:r>
        <w:t>R_reval_ampliada_con_deuda_i = Φ_Ampliado_i × (Respaldo_Real_Total_Con_Deuda_i / M2_i) × (1 + Apalancamiento_Financiero_Total_Con_Deuda_i / M2_i)</w:t>
      </w:r>
    </w:p>
    <w:p w14:paraId="3DF744D2" w14:textId="77777777" w:rsidR="004B5F5F" w:rsidRDefault="004B5F5F" w:rsidP="004B5F5F"/>
    <w:p w14:paraId="52180BF9" w14:textId="77777777" w:rsidR="004B5F5F" w:rsidRDefault="004B5F5F" w:rsidP="004B5F5F">
      <w:r>
        <w:t>Donde R_reval_ampliada_con_deuda_i es el factor de revalorización ampliado con deuda del escalafón i. Φ_Ampliado_i es el factor de confianza ampliado del escalafón i. Respaldo_Real_Total_Con_Deuda_i es el respaldo real total con deuda del escalafón i. M2_i es la masa monetaria del escalafón i. Apalancamiento_Financiero_Total_Con_Deuda_i es el apalancamiento financiero total con deuda del escalafón i. La justificación es que el factor de revalorización mide el respaldo estructural de la moneda. El numerador incluye todos los activos estructurales. El denominador es la masa monetaria. El cociente entre ambos mide cuántas veces el respaldo supera a la masa monetaria. El factor de confianza ampliado ajusta el resultado por el capital humano y el posicionamiento geopolítico. El apalancamiento financiero amplía el respaldo con la deuda tokenizada.</w:t>
      </w:r>
    </w:p>
    <w:p w14:paraId="7F902792" w14:textId="77777777" w:rsidR="004B5F5F" w:rsidRDefault="004B5F5F" w:rsidP="004B5F5F"/>
    <w:p w14:paraId="584AFD41" w14:textId="77777777" w:rsidR="004B5F5F" w:rsidRDefault="004B5F5F" w:rsidP="004B5F5F">
      <w:r>
        <w:t>El tipo de cambio estructural entre dos monedas es el cociente entre sus factores de revalorización, como se muestra a continuación.</w:t>
      </w:r>
    </w:p>
    <w:p w14:paraId="4FE29222" w14:textId="77777777" w:rsidR="004B5F5F" w:rsidRDefault="004B5F5F" w:rsidP="004B5F5F"/>
    <w:p w14:paraId="420D154B" w14:textId="77777777" w:rsidR="004B5F5F" w:rsidRDefault="004B5F5F" w:rsidP="004B5F5F">
      <w:r>
        <w:t>TC_estructural_ij = R_reval_ampliada_con_deuda_i / R_reval_ampliada_con_deuda_j</w:t>
      </w:r>
    </w:p>
    <w:p w14:paraId="0AF6AA27" w14:textId="77777777" w:rsidR="004B5F5F" w:rsidRDefault="004B5F5F" w:rsidP="004B5F5F"/>
    <w:p w14:paraId="33EA4DB8" w14:textId="77777777" w:rsidR="004B5F5F" w:rsidRDefault="004B5F5F" w:rsidP="004B5F5F">
      <w:r>
        <w:t>Donde TC_estructural_ij es el tipo de cambio estructural entre la moneda del escalafón i y la moneda del escalafón j. La justificación es que el valor real de una moneda en términos de otra es el cociente entre sus respaldos estructurales. Si el respaldo de i es el doble del respaldo de j, entonces una unidad de i vale dos unidades de j.</w:t>
      </w:r>
    </w:p>
    <w:p w14:paraId="3EB4647C" w14:textId="77777777" w:rsidR="004B5F5F" w:rsidRDefault="004B5F5F" w:rsidP="004B5F5F"/>
    <w:p w14:paraId="297FBE51" w14:textId="77777777" w:rsidR="004B5F5F" w:rsidRDefault="004B5F5F" w:rsidP="004B5F5F">
      <w:r>
        <w:t>El índice Forex es solo una aproximación distorsionada de ese cociente. La diferencia entre ambos se mide con el factor de subvaloración estructural, que se escribe como sigue.</w:t>
      </w:r>
    </w:p>
    <w:p w14:paraId="24B4F807" w14:textId="77777777" w:rsidR="004B5F5F" w:rsidRDefault="004B5F5F" w:rsidP="004B5F5F"/>
    <w:p w14:paraId="4D9BECC6" w14:textId="77777777" w:rsidR="004B5F5F" w:rsidRDefault="004B5F5F" w:rsidP="004B5F5F">
      <w:r>
        <w:t>FSE_Ampliado_i = R_reval_ampliada_con_deuda_i / TC_Forex_i</w:t>
      </w:r>
    </w:p>
    <w:p w14:paraId="71D745AA" w14:textId="77777777" w:rsidR="004B5F5F" w:rsidRDefault="004B5F5F" w:rsidP="004B5F5F"/>
    <w:p w14:paraId="6A986D83" w14:textId="77777777" w:rsidR="004B5F5F" w:rsidRDefault="004B5F5F" w:rsidP="004B5F5F">
      <w:r>
        <w:t>Donde FSE_Ampliado_i es el factor de subvaloración estructural ampliado del escalafón i. TC_Forex_i es el tipo de cambio Forex del escalafón i. La justificación es que el factor de subvaloración mide cuántas veces el Forex está subvalorando la moneda. Si FSE_Ampliado_i es mayor que uno, el Forex está subvalorando la moneda. Si FSE_Ampliado_i es menor que uno, el Forex está sobrevalorando la moneda. Si FSE_Ampliado_i es igual a uno, el Forex está reflejando correctamente el valor estructural.</w:t>
      </w:r>
    </w:p>
    <w:p w14:paraId="74AE2403" w14:textId="77777777" w:rsidR="004B5F5F" w:rsidRDefault="004B5F5F" w:rsidP="004B5F5F"/>
    <w:p w14:paraId="57A876BB" w14:textId="77777777" w:rsidR="004B5F5F" w:rsidRDefault="004B5F5F" w:rsidP="004B5F5F">
      <w:r>
        <w:t>---</w:t>
      </w:r>
    </w:p>
    <w:p w14:paraId="74DFD6A5" w14:textId="77777777" w:rsidR="004B5F5F" w:rsidRDefault="004B5F5F" w:rsidP="004B5F5F"/>
    <w:p w14:paraId="4A3A7BAA" w14:textId="77777777" w:rsidR="004B5F5F" w:rsidRDefault="004B5F5F" w:rsidP="004B5F5F">
      <w:r>
        <w:t>PARTE III: LAS LEYES FUNDAMENTALES</w:t>
      </w:r>
    </w:p>
    <w:p w14:paraId="40A70F2F" w14:textId="77777777" w:rsidR="004B5F5F" w:rsidRDefault="004B5F5F" w:rsidP="004B5F5F"/>
    <w:p w14:paraId="63FE6386" w14:textId="77777777" w:rsidR="004B5F5F" w:rsidRDefault="004B5F5F" w:rsidP="004B5F5F">
      <w:r>
        <w:t>Ley 1: Conservación del Valor Estructural</w:t>
      </w:r>
    </w:p>
    <w:p w14:paraId="313D09A3" w14:textId="77777777" w:rsidR="004B5F5F" w:rsidRDefault="004B5F5F" w:rsidP="004B5F5F"/>
    <w:p w14:paraId="0DA772A8" w14:textId="77777777" w:rsidR="004B5F5F" w:rsidRDefault="004B5F5F" w:rsidP="004B5F5F">
      <w:r>
        <w:t>El valor económico total del sistema se conserva cuando la fuga de capitales es exactamente compensada mediante la emisión de criptobonos, estableciendo un equilibrio dinámico entre salidas y instrumentos de retención. La formulación matemática completa se escribe como sigue.</w:t>
      </w:r>
    </w:p>
    <w:p w14:paraId="6BE65299" w14:textId="77777777" w:rsidR="004B5F5F" w:rsidRDefault="004B5F5F" w:rsidP="004B5F5F"/>
    <w:p w14:paraId="7DFBA0EE" w14:textId="77777777" w:rsidR="004B5F5F" w:rsidRDefault="004B5F5F" w:rsidP="004B5F5F">
      <w:r>
        <w:t>d[VN(t)]/dt = α·[FGC(t) - ECM(t)] + β·[I(t) - D(t)]</w:t>
      </w:r>
    </w:p>
    <w:p w14:paraId="3959B349" w14:textId="77777777" w:rsidR="004B5F5F" w:rsidRDefault="004B5F5F" w:rsidP="004B5F5F"/>
    <w:p w14:paraId="413FD5DB" w14:textId="77777777" w:rsidR="004B5F5F" w:rsidRDefault="004B5F5F" w:rsidP="004B5F5F">
      <w:r>
        <w:t>Donde VN(t) es el valor nacional total en el tiempo t. FGC(t) es el flujo de fuga de capitales. ECM(t) es la emisión de criptobonos monetarios. I(t) es la inversión productiva interna. D(t) es la desinversión por incertidumbre económica. α es el coeficiente de compensación inmediata, que está entre cero y uno. β es el coeficiente de efecto inversión, que es mayor que cero.</w:t>
      </w:r>
    </w:p>
    <w:p w14:paraId="48FC0055" w14:textId="77777777" w:rsidR="004B5F5F" w:rsidRDefault="004B5F5F" w:rsidP="004B5F5F"/>
    <w:p w14:paraId="06A5AB8D" w14:textId="77777777" w:rsidR="004B5F5F" w:rsidRDefault="004B5F5F" w:rsidP="004B5F5F">
      <w:r>
        <w:t>El flujo de fuga de capitales se define como sigue.</w:t>
      </w:r>
    </w:p>
    <w:p w14:paraId="1CB2FE91" w14:textId="77777777" w:rsidR="004B5F5F" w:rsidRDefault="004B5F5F" w:rsidP="004B5F5F"/>
    <w:p w14:paraId="19DCB8F3" w14:textId="77777777" w:rsidR="004B5F5F" w:rsidRDefault="004B5F5F" w:rsidP="004B5F5F">
      <w:r>
        <w:t>FGC(t) = Σ(Flujos_Financieros_No_Productivos) - Σ(IED_Certificada)</w:t>
      </w:r>
    </w:p>
    <w:p w14:paraId="43B00590" w14:textId="77777777" w:rsidR="004B5F5F" w:rsidRDefault="004B5F5F" w:rsidP="004B5F5F"/>
    <w:p w14:paraId="52D2437F" w14:textId="77777777" w:rsidR="004B5F5F" w:rsidRDefault="004B5F5F" w:rsidP="004B5F5F">
      <w:r>
        <w:t>Donde la suma de los flujos financieros no productivos es la suma de todas las salidas de capital que no generan producción. La suma de la inversión extranjera directa certificada es la suma de todas las entradas de capital que sí generan producción. La justificación es que la fuga de capitales neta es la diferencia entre las salidas no productivas y las entradas productivas.</w:t>
      </w:r>
    </w:p>
    <w:p w14:paraId="67744556" w14:textId="77777777" w:rsidR="004B5F5F" w:rsidRDefault="004B5F5F" w:rsidP="004B5F5F"/>
    <w:p w14:paraId="7294EB27" w14:textId="77777777" w:rsidR="004B5F5F" w:rsidRDefault="004B5F5F" w:rsidP="004B5F5F">
      <w:r>
        <w:t>La emisión de criptobonos monetarios se define como sigue.</w:t>
      </w:r>
    </w:p>
    <w:p w14:paraId="560E1B1F" w14:textId="77777777" w:rsidR="004B5F5F" w:rsidRDefault="004B5F5F" w:rsidP="004B5F5F"/>
    <w:p w14:paraId="76335A16" w14:textId="77777777" w:rsidR="004B5F5F" w:rsidRDefault="004B5F5F" w:rsidP="004B5F5F">
      <w:r>
        <w:t>ECM(t) = κ·FGC(t)·(1 + π</w:t>
      </w:r>
      <w:r>
        <w:rPr>
          <w:rFonts w:ascii="Roboto" w:hAnsi="Roboto" w:cs="Roboto"/>
        </w:rPr>
        <w:t>ₑ</w:t>
      </w:r>
      <w:r>
        <w:t>)</w:t>
      </w:r>
    </w:p>
    <w:p w14:paraId="2B13F86D" w14:textId="77777777" w:rsidR="004B5F5F" w:rsidRDefault="004B5F5F" w:rsidP="004B5F5F"/>
    <w:p w14:paraId="382E3FF2" w14:textId="77777777" w:rsidR="004B5F5F" w:rsidRDefault="004B5F5F" w:rsidP="004B5F5F">
      <w:r>
        <w:t>Donde κ es el factor de conversión fuga a criptobono. π</w:t>
      </w:r>
      <w:r>
        <w:rPr>
          <w:rFonts w:ascii="Roboto" w:hAnsi="Roboto" w:cs="Roboto"/>
        </w:rPr>
        <w:t>ₑ</w:t>
      </w:r>
      <w:r>
        <w:t xml:space="preserve"> es la inflación esperada forward. La justificación es que la emisión de criptobonos compensa la fuga de capitales en una proporción κ, ajustada por la inflación esperada. Si κ es igual a uno, la compensación es total. Si κ es menor que uno, la compensación es parcial.</w:t>
      </w:r>
    </w:p>
    <w:p w14:paraId="6157F24A" w14:textId="77777777" w:rsidR="004B5F5F" w:rsidRDefault="004B5F5F" w:rsidP="004B5F5F"/>
    <w:p w14:paraId="05F6F6C0" w14:textId="77777777" w:rsidR="004B5F5F" w:rsidRDefault="004B5F5F" w:rsidP="004B5F5F">
      <w:r>
        <w:t>La condición de equilibrio se escribe como sigue.</w:t>
      </w:r>
    </w:p>
    <w:p w14:paraId="6E64CC82" w14:textId="77777777" w:rsidR="004B5F5F" w:rsidRDefault="004B5F5F" w:rsidP="004B5F5F"/>
    <w:p w14:paraId="2C06903D" w14:textId="77777777" w:rsidR="004B5F5F" w:rsidRDefault="004B5F5F" w:rsidP="004B5F5F">
      <w:r>
        <w:t>lim(t→∞) VN(t) = VN₀ + ∫[β·(I(s) - D(s))]ds</w:t>
      </w:r>
    </w:p>
    <w:p w14:paraId="12D83520" w14:textId="77777777" w:rsidR="004B5F5F" w:rsidRDefault="004B5F5F" w:rsidP="004B5F5F"/>
    <w:p w14:paraId="0B7AD29D" w14:textId="77777777" w:rsidR="004B5F5F" w:rsidRDefault="004B5F5F" w:rsidP="004B5F5F">
      <w:r>
        <w:t>Donde VN₀ es el valor nacional inicial. La justificación es que en el largo plazo, el valor nacional tiende a su valor inicial más la acumulación neta de inversión productiva. El sistema alcanza equilibrio cuando FGC(t) = ECM(t) y I(t) &gt; D(t).</w:t>
      </w:r>
    </w:p>
    <w:p w14:paraId="01EE772E" w14:textId="77777777" w:rsidR="004B5F5F" w:rsidRDefault="004B5F5F" w:rsidP="004B5F5F"/>
    <w:p w14:paraId="345EBE48" w14:textId="77777777" w:rsidR="004B5F5F" w:rsidRDefault="004B5F5F" w:rsidP="004B5F5F">
      <w:r>
        <w:t>Ley 2: Demanda Forzosa Exponencial de Moneda Nacional</w:t>
      </w:r>
    </w:p>
    <w:p w14:paraId="31B6AE32" w14:textId="77777777" w:rsidR="004B5F5F" w:rsidRDefault="004B5F5F" w:rsidP="004B5F5F"/>
    <w:p w14:paraId="48457D12" w14:textId="77777777" w:rsidR="004B5F5F" w:rsidRDefault="004B5F5F" w:rsidP="004B5F5F">
      <w:r>
        <w:t>La demanda de bolívares crece de manera exponencial-determinística en función de la emisión acumulada de criptobonos y la inflación nacional esperada, generando un efecto de retroalimentación positiva. La formulación matemática completa se escribe como sigue.</w:t>
      </w:r>
    </w:p>
    <w:p w14:paraId="2CDBEB44" w14:textId="77777777" w:rsidR="004B5F5F" w:rsidRDefault="004B5F5F" w:rsidP="004B5F5F"/>
    <w:p w14:paraId="0BDD4D5F" w14:textId="77777777" w:rsidR="004B5F5F" w:rsidRDefault="004B5F5F" w:rsidP="004B5F5F">
      <w:r>
        <w:t>DB(t) = DB₀ · exp[∫₀</w:t>
      </w:r>
      <w:r>
        <w:rPr>
          <w:rFonts w:ascii="Arial" w:hAnsi="Arial" w:cs="Arial"/>
        </w:rPr>
        <w:t>ᵗ</w:t>
      </w:r>
      <w:r>
        <w:t xml:space="preserve"> (λ·ECM(s) + μ·IPC_NAC(s) + ν·d(TC)/ds)ds]</w:t>
      </w:r>
    </w:p>
    <w:p w14:paraId="43EDFBCB" w14:textId="77777777" w:rsidR="004B5F5F" w:rsidRDefault="004B5F5F" w:rsidP="004B5F5F"/>
    <w:p w14:paraId="1BE18320" w14:textId="77777777" w:rsidR="004B5F5F" w:rsidRDefault="004B5F5F" w:rsidP="004B5F5F">
      <w:r>
        <w:t>Donde DB(t) es la demanda de bolívares en el tiempo t. DB₀ es la demanda inicial de bolívares. λ es la elasticidad-demanda respecto a emisión, que es mayor que cero. μ es la elasticidad-demanda respecto a inflación, que es negativa en hiperinflación y positiva en estabilidad. ν es la sensibilidad a variaciones cambiarias, que es negativa. ECM(s) es la emisión acumulada de criptobonos. IPC_NAC(s) es la inflación nacional acumulada. d(TC)/ds es la derivada del tipo de cambio respecto al tiempo, que es la velocidad de devaluación.</w:t>
      </w:r>
    </w:p>
    <w:p w14:paraId="35701713" w14:textId="77777777" w:rsidR="004B5F5F" w:rsidRDefault="004B5F5F" w:rsidP="004B5F5F"/>
    <w:p w14:paraId="28321370" w14:textId="77777777" w:rsidR="004B5F5F" w:rsidRDefault="004B5F5F" w:rsidP="004B5F5F">
      <w:r>
        <w:t>La ecuación diferencial asociada se escribe como sigue.</w:t>
      </w:r>
    </w:p>
    <w:p w14:paraId="242079DE" w14:textId="77777777" w:rsidR="004B5F5F" w:rsidRDefault="004B5F5F" w:rsidP="004B5F5F"/>
    <w:p w14:paraId="0CF00CBF" w14:textId="77777777" w:rsidR="004B5F5F" w:rsidRDefault="004B5F5F" w:rsidP="004B5F5F">
      <w:r>
        <w:t>d[DB(t)]/dt = DB(t)·[λ·ECM(t) + μ·IPC_NAC(t) + ν·d²(TC)/dt²]</w:t>
      </w:r>
    </w:p>
    <w:p w14:paraId="7025BFB8" w14:textId="77777777" w:rsidR="004B5F5F" w:rsidRDefault="004B5F5F" w:rsidP="004B5F5F"/>
    <w:p w14:paraId="7338E8DB" w14:textId="77777777" w:rsidR="004B5F5F" w:rsidRDefault="004B5F5F" w:rsidP="004B5F5F">
      <w:r>
        <w:t>Donde d²(TC)/dt² es la segunda derivada del tipo de cambio respecto al tiempo, que es la aceleración de la devaluación. La justificación de esta ley es que la demanda de dinero no es pasiva. Cuando el gobierno emite criptobonos, la gente demanda más bolívares porque los criptobonos son colateral aceptado. Cuando la inflación sube, la gente demanda menos bolívares porque el dinero pierde valor. Cuando el tipo de cambio se acelera, la gente demanda menos bolívares porque prefiere refugiarse en divisas. El efecto neto depende de la magnitud relativa de λ, μ y ν. Si λ es grande y μ y ν son pequeños, la demanda crece. Si λ es pequeño y μ y ν son grandes, la demanda cae.</w:t>
      </w:r>
    </w:p>
    <w:p w14:paraId="694A12DE" w14:textId="77777777" w:rsidR="004B5F5F" w:rsidRDefault="004B5F5F" w:rsidP="004B5F5F"/>
    <w:p w14:paraId="59C2AB7C" w14:textId="77777777" w:rsidR="004B5F5F" w:rsidRDefault="004B5F5F" w:rsidP="004B5F5F">
      <w:r>
        <w:t>Ley 3: Retroalimentación Negativa de Fuga de Capitales</w:t>
      </w:r>
    </w:p>
    <w:p w14:paraId="1C398FE9" w14:textId="77777777" w:rsidR="004B5F5F" w:rsidRDefault="004B5F5F" w:rsidP="004B5F5F"/>
    <w:p w14:paraId="6752ABA5" w14:textId="77777777" w:rsidR="004B5F5F" w:rsidRDefault="004B5F5F" w:rsidP="004B5F5F">
      <w:r>
        <w:t>La fuga de capitales disminuye de manera proporcional-no lineal a la revalorización cambiaria inducida y a la cobertura del sistema, estableciendo un mecanismo de autocorrección. La formulación matemática completa se escribe como sigue.</w:t>
      </w:r>
    </w:p>
    <w:p w14:paraId="698FB626" w14:textId="77777777" w:rsidR="004B5F5F" w:rsidRDefault="004B5F5F" w:rsidP="004B5F5F"/>
    <w:p w14:paraId="494BCE82" w14:textId="77777777" w:rsidR="004B5F5F" w:rsidRDefault="004B5F5F" w:rsidP="004B5F5F">
      <w:r>
        <w:t>d[FGC(t)]/dt = -γ·[d(TC)/dt]·[FGC(t)]·[1 + δ·C(t)]² + ε(t)</w:t>
      </w:r>
    </w:p>
    <w:p w14:paraId="7C3E30FB" w14:textId="77777777" w:rsidR="004B5F5F" w:rsidRDefault="004B5F5F" w:rsidP="004B5F5F"/>
    <w:p w14:paraId="78EA12A1" w14:textId="77777777" w:rsidR="004B5F5F" w:rsidRDefault="004B5F5F" w:rsidP="004B5F5F">
      <w:r>
        <w:t>Donde FGC(t) es la fuga de capitales en el tiempo t. γ es el coeficiente de sensibilidad fuga-revalorización, que es mayor que cero. d(TC)/dt es la tasa de revalorización cambiaria. δ es el factor de amplificación por cobertura, que es mayor que cero. C(t) es la cobertura del sistema, definida como ECM(t)/FGC(t). ε(t) es el proceso estocástico de shocks externos, que sigue una distribución normal con media cero y varianza σ²</w:t>
      </w:r>
      <w:r>
        <w:rPr>
          <w:rFonts w:ascii="Roboto" w:hAnsi="Roboto" w:cs="Roboto"/>
        </w:rPr>
        <w:t>ₑ</w:t>
      </w:r>
      <w:r>
        <w:t>.</w:t>
      </w:r>
    </w:p>
    <w:p w14:paraId="46D997A9" w14:textId="77777777" w:rsidR="004B5F5F" w:rsidRDefault="004B5F5F" w:rsidP="004B5F5F"/>
    <w:p w14:paraId="249BFAE6" w14:textId="77777777" w:rsidR="004B5F5F" w:rsidRDefault="004B5F5F" w:rsidP="004B5F5F">
      <w:r>
        <w:t>La forma integral de la solución se escribe como sigue.</w:t>
      </w:r>
    </w:p>
    <w:p w14:paraId="0EF50E7E" w14:textId="77777777" w:rsidR="004B5F5F" w:rsidRDefault="004B5F5F" w:rsidP="004B5F5F"/>
    <w:p w14:paraId="6A39AF71" w14:textId="77777777" w:rsidR="004B5F5F" w:rsidRDefault="004B5F5F" w:rsidP="004B5F5F">
      <w:r>
        <w:t>FGC(t) = FGC₀ · exp[-γ·∫₀</w:t>
      </w:r>
      <w:r>
        <w:rPr>
          <w:rFonts w:ascii="Arial" w:hAnsi="Arial" w:cs="Arial"/>
        </w:rPr>
        <w:t>ᵗ</w:t>
      </w:r>
      <w:r>
        <w:t xml:space="preserve"> [d(TC)/ds]·[1 + δ·C(s)]²ds] + ∫₀</w:t>
      </w:r>
      <w:r>
        <w:rPr>
          <w:rFonts w:ascii="Arial" w:hAnsi="Arial" w:cs="Arial"/>
        </w:rPr>
        <w:t>ᵗ</w:t>
      </w:r>
      <w:r>
        <w:t xml:space="preserve"> exp[-γ·∫</w:t>
      </w:r>
      <w:r>
        <w:rPr>
          <w:rFonts w:ascii="Roboto" w:hAnsi="Roboto" w:cs="Roboto"/>
        </w:rPr>
        <w:t>ₛ</w:t>
      </w:r>
      <w:r>
        <w:rPr>
          <w:rFonts w:ascii="Arial" w:hAnsi="Arial" w:cs="Arial"/>
        </w:rPr>
        <w:t>ᵗ</w:t>
      </w:r>
      <w:r>
        <w:t xml:space="preserve"> [d(TC)/du]·[1 + δ·C(u)]²du]·ε(s)ds</w:t>
      </w:r>
    </w:p>
    <w:p w14:paraId="420C80AE" w14:textId="77777777" w:rsidR="004B5F5F" w:rsidRDefault="004B5F5F" w:rsidP="004B5F5F"/>
    <w:p w14:paraId="74B16C00" w14:textId="77777777" w:rsidR="004B5F5F" w:rsidRDefault="004B5F5F" w:rsidP="004B5F5F">
      <w:r>
        <w:t>Donde FGC₀ es la fuga de capitales inicial. La justificación de esta ley es que cuando la moneda se revaloriza, la fuga de capitales disminuye porque los capitales que se habían ido regresan para aprovechar la revalorización. Cuando la cobertura del sistema es alta, el efecto se amplifica porque los inversionistas confían más en el sistema. El término ε(t) captura los shocks externos que pueden aumentar o disminuir la fuga de capitales de manera impredecible.</w:t>
      </w:r>
    </w:p>
    <w:p w14:paraId="55891F34" w14:textId="77777777" w:rsidR="004B5F5F" w:rsidRDefault="004B5F5F" w:rsidP="004B5F5F"/>
    <w:p w14:paraId="087EFA9E" w14:textId="77777777" w:rsidR="004B5F5F" w:rsidRDefault="004B5F5F" w:rsidP="004B5F5F">
      <w:r>
        <w:t>Ley 4: Convergencia Asintótica al Equilibrio Cambiario</w:t>
      </w:r>
    </w:p>
    <w:p w14:paraId="0A612205" w14:textId="77777777" w:rsidR="004B5F5F" w:rsidRDefault="004B5F5F" w:rsidP="004B5F5F"/>
    <w:p w14:paraId="4B62CA25" w14:textId="77777777" w:rsidR="004B5F5F" w:rsidRDefault="004B5F5F" w:rsidP="004B5F5F">
      <w:r>
        <w:t>El tipo de cambio real converge exponencialmente a su valor de equilibrio de paridad de poder adquisitivo, con velocidad de convergencia determinada por la emisión acumulada de criptobonos. La formulación matemática completa se escribe como sigue.</w:t>
      </w:r>
    </w:p>
    <w:p w14:paraId="27F1CD5A" w14:textId="77777777" w:rsidR="004B5F5F" w:rsidRDefault="004B5F5F" w:rsidP="004B5F5F"/>
    <w:p w14:paraId="025FBC5B" w14:textId="77777777" w:rsidR="004B5F5F" w:rsidRDefault="004B5F5F" w:rsidP="004B5F5F">
      <w:r>
        <w:t>TC(t) = TC_PPA(t) + [TC(0) - TC_PPA(0)]·exp[-∫₀</w:t>
      </w:r>
      <w:r>
        <w:rPr>
          <w:rFonts w:ascii="Arial" w:hAnsi="Arial" w:cs="Arial"/>
        </w:rPr>
        <w:t>ᵗ</w:t>
      </w:r>
      <w:r>
        <w:t xml:space="preserve"> θ·ECM(s)·ψ(s)ds]</w:t>
      </w:r>
    </w:p>
    <w:p w14:paraId="2DC9AD8D" w14:textId="77777777" w:rsidR="004B5F5F" w:rsidRDefault="004B5F5F" w:rsidP="004B5F5F"/>
    <w:p w14:paraId="2D13C06F" w14:textId="77777777" w:rsidR="004B5F5F" w:rsidRDefault="004B5F5F" w:rsidP="004B5F5F">
      <w:r>
        <w:t>Donde TC(t) es el tipo de cambio en el tiempo t. TC_PPA(t) es el tipo de cambio de paridad de poder adquisitivo en el tiempo t. TC(0) es el tipo de cambio inicial. TC_PPA(0) es el tipo de cambio de paridad de poder adquisitivo inicial. θ es la velocidad de convergencia, que es mayor que cero. ECM(s) es la emisión de criptobonos en el tiempo s. ψ(s) es la función de efectividad del sistema, definida como 1 - exp[-ω·C(s)]. ω es el parámetro de eficiencia operativa.</w:t>
      </w:r>
    </w:p>
    <w:p w14:paraId="69CA345E" w14:textId="77777777" w:rsidR="004B5F5F" w:rsidRDefault="004B5F5F" w:rsidP="004B5F5F"/>
    <w:p w14:paraId="0D47F662" w14:textId="77777777" w:rsidR="004B5F5F" w:rsidRDefault="004B5F5F" w:rsidP="004B5F5F">
      <w:r>
        <w:t>La ecuación diferencial asociada se escribe como sigue.</w:t>
      </w:r>
    </w:p>
    <w:p w14:paraId="1CC3C739" w14:textId="77777777" w:rsidR="004B5F5F" w:rsidRDefault="004B5F5F" w:rsidP="004B5F5F"/>
    <w:p w14:paraId="1DBEA356" w14:textId="77777777" w:rsidR="004B5F5F" w:rsidRDefault="004B5F5F" w:rsidP="004B5F5F">
      <w:r>
        <w:t>d[TC(t)]/dt = -θ·ECM(t)·ψ(t)·[TC(t) - TC_PPA(t)] + d[TC_PPA(t)]/dt</w:t>
      </w:r>
    </w:p>
    <w:p w14:paraId="358CD49D" w14:textId="77777777" w:rsidR="004B5F5F" w:rsidRDefault="004B5F5F" w:rsidP="004B5F5F"/>
    <w:p w14:paraId="76C5519D" w14:textId="77777777" w:rsidR="004B5F5F" w:rsidRDefault="004B5F5F" w:rsidP="004B5F5F">
      <w:r>
        <w:t>El tipo de cambio de paridad de poder adquisitivo se define como sigue.</w:t>
      </w:r>
    </w:p>
    <w:p w14:paraId="0AD8F84A" w14:textId="77777777" w:rsidR="004B5F5F" w:rsidRDefault="004B5F5F" w:rsidP="004B5F5F"/>
    <w:p w14:paraId="40B9D2EC" w14:textId="77777777" w:rsidR="004B5F5F" w:rsidRDefault="004B5F5F" w:rsidP="004B5F5F">
      <w:r>
        <w:t>TC_PPA(t) = TC_Nominal × (IPC_VEN/IPC_Ref)</w:t>
      </w:r>
    </w:p>
    <w:p w14:paraId="33DD8FBC" w14:textId="77777777" w:rsidR="004B5F5F" w:rsidRDefault="004B5F5F" w:rsidP="004B5F5F"/>
    <w:p w14:paraId="55DFFDA1" w14:textId="77777777" w:rsidR="004B5F5F" w:rsidRDefault="004B5F5F" w:rsidP="004B5F5F">
      <w:r>
        <w:t>Donde TC_Nominal es el tipo de cambio nominal. IPC_VEN es el índice de precios al consumidor de Venezuela. IPC_Ref es el índice de precios al consumidor de referencia. La justificación de esta ley es que el tipo de cambio real no puede desviarse permanentemente de su valor de paridad de poder adquisitivo. Si el tipo de cambio real está por encima del PPA, la convergencia lo hace bajar. Si está por debajo, la convergencia lo hace subir. La velocidad de convergencia depende de la emisión de criptobonos y de la efectividad del sistema. Si la emisión es alta y la efectividad es alta, la convergencia es rápida. Si la emisión es baja y la efectividad es baja, la convergencia es lenta.</w:t>
      </w:r>
    </w:p>
    <w:p w14:paraId="0D11FDA1" w14:textId="77777777" w:rsidR="004B5F5F" w:rsidRDefault="004B5F5F" w:rsidP="004B5F5F"/>
    <w:p w14:paraId="063BD1CC" w14:textId="77777777" w:rsidR="004B5F5F" w:rsidRDefault="004B5F5F" w:rsidP="004B5F5F">
      <w:r>
        <w:t>Ley 5: Estabilización Inflacionaria por Anclaje Dual</w:t>
      </w:r>
    </w:p>
    <w:p w14:paraId="3FEC3D73" w14:textId="77777777" w:rsidR="004B5F5F" w:rsidRDefault="004B5F5F" w:rsidP="004B5F5F"/>
    <w:p w14:paraId="64FE4369" w14:textId="77777777" w:rsidR="004B5F5F" w:rsidRDefault="004B5F5F" w:rsidP="004B5F5F">
      <w:r>
        <w:t>La tasa de inflación converge a la inflación internacional más un diferencial decreciente determinado por la brecha cambiaria y la efectividad del sistema. La formulación matemática completa se escribe como sigue.</w:t>
      </w:r>
    </w:p>
    <w:p w14:paraId="096CFCCC" w14:textId="77777777" w:rsidR="004B5F5F" w:rsidRDefault="004B5F5F" w:rsidP="004B5F5F"/>
    <w:p w14:paraId="352AD5EF" w14:textId="77777777" w:rsidR="004B5F5F" w:rsidRDefault="004B5F5F" w:rsidP="004B5F5F">
      <w:r>
        <w:t>d[π(t)]/dt = -η·[TC(t) - TC_PPA(t)]·π(t) - ζ·[ECM(t) - ECM</w:t>
      </w:r>
      <w:r>
        <w:rPr>
          <w:rFonts w:ascii="Roboto" w:hAnsi="Roboto" w:cs="Roboto"/>
        </w:rPr>
        <w:t>ₑ</w:t>
      </w:r>
      <w:r>
        <w:t>(t)] + ξ(t)</w:t>
      </w:r>
    </w:p>
    <w:p w14:paraId="475DF1AA" w14:textId="77777777" w:rsidR="004B5F5F" w:rsidRDefault="004B5F5F" w:rsidP="004B5F5F"/>
    <w:p w14:paraId="7A0CD74D" w14:textId="77777777" w:rsidR="004B5F5F" w:rsidRDefault="004B5F5F" w:rsidP="004B5F5F">
      <w:r>
        <w:t>Donde π(t) es la inflación instantánea, definida como d[ln(IPC)]/dt. η es la sensibilidad inflación-brecha cambiaria, que es mayor que cero. ζ es la sensibilidad inflación-expectativas de emisión, que es mayor que cero. ECM</w:t>
      </w:r>
      <w:r>
        <w:rPr>
          <w:rFonts w:ascii="Roboto" w:hAnsi="Roboto" w:cs="Roboto"/>
        </w:rPr>
        <w:t>ₑ</w:t>
      </w:r>
      <w:r>
        <w:t>(t) es la emisión esperada de criptobonos. ξ(t) son los shocks inflacionarios, que siguen una distribución normal con media cero y varianza σ²_ξ.</w:t>
      </w:r>
    </w:p>
    <w:p w14:paraId="59ACAF4A" w14:textId="77777777" w:rsidR="004B5F5F" w:rsidRDefault="004B5F5F" w:rsidP="004B5F5F"/>
    <w:p w14:paraId="50CD8FB6" w14:textId="77777777" w:rsidR="004B5F5F" w:rsidRDefault="004B5F5F" w:rsidP="004B5F5F">
      <w:r>
        <w:t>La solución de estado estacionario se escribe como sigue.</w:t>
      </w:r>
    </w:p>
    <w:p w14:paraId="790F0D2F" w14:textId="77777777" w:rsidR="004B5F5F" w:rsidRDefault="004B5F5F" w:rsidP="004B5F5F"/>
    <w:p w14:paraId="5179BCA2" w14:textId="77777777" w:rsidR="004B5F5F" w:rsidRDefault="004B5F5F" w:rsidP="004B5F5F">
      <w:r>
        <w:t>π_∞ = π_internacional + (σ²_ξ)/(2·η·Var[TC - TC_PPA])</w:t>
      </w:r>
    </w:p>
    <w:p w14:paraId="464676BB" w14:textId="77777777" w:rsidR="004B5F5F" w:rsidRDefault="004B5F5F" w:rsidP="004B5F5F"/>
    <w:p w14:paraId="1845C2A5" w14:textId="77777777" w:rsidR="004B5F5F" w:rsidRDefault="004B5F5F" w:rsidP="004B5F5F">
      <w:r>
        <w:t>Donde π_∞ es la inflación en el estado estacionario. π_internacional es la inflación internacional. La justificación de esta ley es que la inflación no puede descontrolarse si el tipo de cambio converge al PPA y la emisión de criptobonos converge a su valor esperado. El primer término del lado derecho de la ecuación diferencial hace que la inflación baje cuando el tipo de cambio está por encima del PPA. El segundo término hace que la inflación baje cuando la emisión de criptobonos está por encima de su valor esperado. El tercer término captura los shocks inflacionarios. El estado estacionario muestra que la inflación de largo plazo es la inflación internacional más un diferencial positivo que depende de la varianza de los shocks y de la sensibilidad a la brecha cambiaria.</w:t>
      </w:r>
    </w:p>
    <w:p w14:paraId="4748FE32" w14:textId="77777777" w:rsidR="004B5F5F" w:rsidRDefault="004B5F5F" w:rsidP="004B5F5F"/>
    <w:p w14:paraId="564C9E3A" w14:textId="77777777" w:rsidR="004B5F5F" w:rsidRDefault="004B5F5F" w:rsidP="004B5F5F">
      <w:r>
        <w:t>Ley 6: Conservación del Colateral</w:t>
      </w:r>
    </w:p>
    <w:p w14:paraId="545EFDA5" w14:textId="77777777" w:rsidR="004B5F5F" w:rsidRDefault="004B5F5F" w:rsidP="004B5F5F"/>
    <w:p w14:paraId="5B359654" w14:textId="77777777" w:rsidR="004B5F5F" w:rsidRDefault="004B5F5F" w:rsidP="004B5F5F">
      <w:r>
        <w:t>El valor total del colateral que respalda las transacciones se conserva en ausencia de shocks externos, ajustado por haircuts y revaluaciones. La formulación matemática completa se escribe como sigue.</w:t>
      </w:r>
    </w:p>
    <w:p w14:paraId="31D50A3B" w14:textId="77777777" w:rsidR="004B5F5F" w:rsidRDefault="004B5F5F" w:rsidP="004B5F5F"/>
    <w:p w14:paraId="54F63A9F" w14:textId="77777777" w:rsidR="004B5F5F" w:rsidRDefault="004B5F5F" w:rsidP="004B5F5F">
      <w:r>
        <w:t>d[VC(t)]/dt = Σ_i [Valor_Colateral_i(t) × (1 - Haircut_i(t))] - Σ_j Liquidación_j(t)</w:t>
      </w:r>
    </w:p>
    <w:p w14:paraId="0533C0A7" w14:textId="77777777" w:rsidR="004B5F5F" w:rsidRDefault="004B5F5F" w:rsidP="004B5F5F"/>
    <w:p w14:paraId="2D7286CF" w14:textId="77777777" w:rsidR="004B5F5F" w:rsidRDefault="004B5F5F" w:rsidP="004B5F5F">
      <w:r>
        <w:t>Donde VC(t) es el valor total del colateral. Valor_Colateral_i(t) es el valor del colateral del tipo i. Haircut_i(t) es el haircut dinámico del colateral del tipo i. Liquidación_j(t) es la liquidación forzosa del colateral del tipo j. La justificación es que el valor total del colateral es la suma de los valores de todos los colaterales, ajustados por sus respectivos haircuts, menos las liquidaciones forzosas. Si no hay liquidaciones forzosas, el valor del colateral se conserva.</w:t>
      </w:r>
    </w:p>
    <w:p w14:paraId="1DAA7942" w14:textId="77777777" w:rsidR="004B5F5F" w:rsidRDefault="004B5F5F" w:rsidP="004B5F5F"/>
    <w:p w14:paraId="2FFAAC73" w14:textId="77777777" w:rsidR="004B5F5F" w:rsidRDefault="004B5F5F" w:rsidP="004B5F5F">
      <w:r>
        <w:t>La condición de equilibrio se escribe como sigue.</w:t>
      </w:r>
    </w:p>
    <w:p w14:paraId="3EB67897" w14:textId="77777777" w:rsidR="004B5F5F" w:rsidRDefault="004B5F5F" w:rsidP="004B5F5F"/>
    <w:p w14:paraId="793D1743" w14:textId="77777777" w:rsidR="004B5F5F" w:rsidRDefault="004B5F5F" w:rsidP="004B5F5F">
      <w:r>
        <w:t>VC(t) ≥ Σ_i Exposición_i(t) × Umbral_Margin_i</w:t>
      </w:r>
    </w:p>
    <w:p w14:paraId="37B26073" w14:textId="77777777" w:rsidR="004B5F5F" w:rsidRDefault="004B5F5F" w:rsidP="004B5F5F"/>
    <w:p w14:paraId="512AE009" w14:textId="77777777" w:rsidR="004B5F5F" w:rsidRDefault="004B5F5F" w:rsidP="004B5F5F">
      <w:r>
        <w:t>Donde Exposición_i(t) es la exposición del tipo i. Umbral_Margin_i es el umbral de margin call del tipo i. La justificación es que el valor total del colateral debe ser mayor o igual a la suma de las exposiciones ajustadas por sus umbrales de margin call. Si el colateral cae por debajo de ese nivel, se activan las liquidaciones forzosas.</w:t>
      </w:r>
    </w:p>
    <w:p w14:paraId="74E1A550" w14:textId="77777777" w:rsidR="004B5F5F" w:rsidRDefault="004B5F5F" w:rsidP="004B5F5F"/>
    <w:p w14:paraId="0F8FEB6C" w14:textId="77777777" w:rsidR="004B5F5F" w:rsidRDefault="004B5F5F" w:rsidP="004B5F5F">
      <w:r>
        <w:t>Ley 7: Equilibrio de Liquidez</w:t>
      </w:r>
    </w:p>
    <w:p w14:paraId="1F473D5E" w14:textId="77777777" w:rsidR="004B5F5F" w:rsidRDefault="004B5F5F" w:rsidP="004B5F5F"/>
    <w:p w14:paraId="0B09FC4B" w14:textId="77777777" w:rsidR="004B5F5F" w:rsidRDefault="004B5F5F" w:rsidP="004B5F5F">
      <w:r>
        <w:t>El sistema alcanza estabilidad cuando la liquidez drenada por los criptobonos iguala la liquidez creada por el gasto ineficiente, formando un atractor económico estable. La formulación matemática completa se escribe como sigue.</w:t>
      </w:r>
    </w:p>
    <w:p w14:paraId="1920851E" w14:textId="77777777" w:rsidR="004B5F5F" w:rsidRDefault="004B5F5F" w:rsidP="004B5F5F"/>
    <w:p w14:paraId="0F9F8866" w14:textId="77777777" w:rsidR="004B5F5F" w:rsidRDefault="004B5F5F" w:rsidP="004B5F5F">
      <w:r>
        <w:t>dM/dt = β·GPGI - γ·FPG-Bond + η·dP/dt</w:t>
      </w:r>
    </w:p>
    <w:p w14:paraId="764062E1" w14:textId="77777777" w:rsidR="004B5F5F" w:rsidRDefault="004B5F5F" w:rsidP="004B5F5F"/>
    <w:p w14:paraId="1F1E49ED" w14:textId="77777777" w:rsidR="004B5F5F" w:rsidRDefault="004B5F5F" w:rsidP="004B5F5F">
      <w:r>
        <w:t>Donde M es la masa monetaria en circulación. β es el coeficiente de creación monetaria por gasto ineficiente. GPGI es el gasto público ineficiente. γ es el coeficiente de drenaje por criptobonos. FPG-Bond es el flujo de criptobonos. η es la elasticidad-precio de la demanda monetaria. P es el nivel general de precios.</w:t>
      </w:r>
    </w:p>
    <w:p w14:paraId="6806CA0F" w14:textId="77777777" w:rsidR="004B5F5F" w:rsidRDefault="004B5F5F" w:rsidP="004B5F5F"/>
    <w:p w14:paraId="67828DCB" w14:textId="77777777" w:rsidR="004B5F5F" w:rsidRDefault="004B5F5F" w:rsidP="004B5F5F">
      <w:r>
        <w:t>La solución analítica se escribe como sigue.</w:t>
      </w:r>
    </w:p>
    <w:p w14:paraId="1686979D" w14:textId="77777777" w:rsidR="004B5F5F" w:rsidRDefault="004B5F5F" w:rsidP="004B5F5F"/>
    <w:p w14:paraId="447326F8" w14:textId="77777777" w:rsidR="004B5F5F" w:rsidRDefault="004B5F5F" w:rsidP="004B5F5F">
      <w:r>
        <w:t>M(t) = M_0·e^{-γt} + (β/γ)·GPGI·(1 - e^{-γt}) + η·∫_0^t e^{-γ(t-s)}·dP/ds ds</w:t>
      </w:r>
    </w:p>
    <w:p w14:paraId="10AAD622" w14:textId="77777777" w:rsidR="004B5F5F" w:rsidRDefault="004B5F5F" w:rsidP="004B5F5F"/>
    <w:p w14:paraId="04E58842" w14:textId="77777777" w:rsidR="004B5F5F" w:rsidRDefault="004B5F5F" w:rsidP="004B5F5F">
      <w:r>
        <w:t>Donde M_0 es la masa monetaria inicial. La justificación de esta ley es que la masa monetaria en circulación cambia por tres razones. Primero, el gasto público ineficiente crea dinero. Segundo, la emisión de criptobonos drena dinero. Tercero, el cambio en el nivel de precios afecta la demanda de dinero. En el estado estacionario, la masa monetaria converge a (β/γ)·GPGI, que es el cociente entre la creación y el drenaje. Si β·GPGI es igual a γ·FPG-Bond, la masa monetaria se mantiene constante.</w:t>
      </w:r>
    </w:p>
    <w:p w14:paraId="74A8FE67" w14:textId="77777777" w:rsidR="004B5F5F" w:rsidRDefault="004B5F5F" w:rsidP="004B5F5F"/>
    <w:p w14:paraId="123498A0" w14:textId="77777777" w:rsidR="004B5F5F" w:rsidRDefault="004B5F5F" w:rsidP="004B5F5F">
      <w:r>
        <w:t>Ley 8: Compensación Multilateral</w:t>
      </w:r>
    </w:p>
    <w:p w14:paraId="06CFF87D" w14:textId="77777777" w:rsidR="004B5F5F" w:rsidRDefault="004B5F5F" w:rsidP="004B5F5F"/>
    <w:p w14:paraId="737C7606" w14:textId="77777777" w:rsidR="004B5F5F" w:rsidRDefault="004B5F5F" w:rsidP="004B5F5F">
      <w:r>
        <w:t>Las obligaciones netas entre bancos centrales se compensan multilateralmente, eliminando la necesidad de liquidación bilateral y reduciendo el riesgo de contraparte. La formulación matemática completa se escribe como sigue.</w:t>
      </w:r>
    </w:p>
    <w:p w14:paraId="08C8C13D" w14:textId="77777777" w:rsidR="004B5F5F" w:rsidRDefault="004B5F5F" w:rsidP="004B5F5F"/>
    <w:p w14:paraId="18A9FAC8" w14:textId="77777777" w:rsidR="004B5F5F" w:rsidRDefault="004B5F5F" w:rsidP="004B5F5F">
      <w:r>
        <w:t>Σ_i Obligación_Neta_i = Σ_i Σ_j (Deuda_ij - Deuda_ji) = 0</w:t>
      </w:r>
    </w:p>
    <w:p w14:paraId="4C069848" w14:textId="77777777" w:rsidR="004B5F5F" w:rsidRDefault="004B5F5F" w:rsidP="004B5F5F"/>
    <w:p w14:paraId="340CE2E4" w14:textId="77777777" w:rsidR="004B5F5F" w:rsidRDefault="004B5F5F" w:rsidP="004B5F5F">
      <w:r>
        <w:t>Donde Obligación_Neta_i es la obligación neta del banco central i. Deuda_ij es la deuda del banco central i con el banco central j. Deuda_ji es la deuda del banco central j con el banco central i. La justificación es que la suma de todas las obligaciones netas es cero porque cada deuda aparece dos veces con signos opuestos. Esto significa que el sistema de compensación multilateral puede liquidar todas las obligaciones sin necesidad de transferencias bilaterales.</w:t>
      </w:r>
    </w:p>
    <w:p w14:paraId="6D690B68" w14:textId="77777777" w:rsidR="004B5F5F" w:rsidRDefault="004B5F5F" w:rsidP="004B5F5F"/>
    <w:p w14:paraId="71E79907" w14:textId="77777777" w:rsidR="004B5F5F" w:rsidRDefault="004B5F5F" w:rsidP="004B5F5F">
      <w:r>
        <w:t>La eficiencia de compensación se define como sigue.</w:t>
      </w:r>
    </w:p>
    <w:p w14:paraId="5CE6924F" w14:textId="77777777" w:rsidR="004B5F5F" w:rsidRDefault="004B5F5F" w:rsidP="004B5F5F"/>
    <w:p w14:paraId="1487C8C7" w14:textId="77777777" w:rsidR="004B5F5F" w:rsidRDefault="004B5F5F" w:rsidP="004B5F5F">
      <w:r>
        <w:t>Eficiencia_Compensación = (Volumen_Bruto - Volumen_Neto) / Volumen_Bruto</w:t>
      </w:r>
    </w:p>
    <w:p w14:paraId="382E393C" w14:textId="77777777" w:rsidR="004B5F5F" w:rsidRDefault="004B5F5F" w:rsidP="004B5F5F"/>
    <w:p w14:paraId="60567C73" w14:textId="77777777" w:rsidR="004B5F5F" w:rsidRDefault="004B5F5F" w:rsidP="004B5F5F">
      <w:r>
        <w:t>Donde Volumen_Bruto es la suma de todas las deudas bilaterales. Volumen_Neto es la suma de todas las obligaciones netas. La justificación es que la eficiencia mide cuánto se reduce el volumen de liquidación gracias a la compensación multilateral. Si la eficiencia es alta, la compensación reduce mucho el volumen. Si la eficiencia es baja, la compensación reduce poco el volumen.</w:t>
      </w:r>
    </w:p>
    <w:p w14:paraId="70F136D2" w14:textId="77777777" w:rsidR="004B5F5F" w:rsidRDefault="004B5F5F" w:rsidP="004B5F5F"/>
    <w:p w14:paraId="70D0F778" w14:textId="77777777" w:rsidR="004B5F5F" w:rsidRDefault="004B5F5F" w:rsidP="004B5F5F">
      <w:r>
        <w:t>Ley 9: Interoperabilidad</w:t>
      </w:r>
    </w:p>
    <w:p w14:paraId="1BB2A710" w14:textId="77777777" w:rsidR="004B5F5F" w:rsidRDefault="004B5F5F" w:rsidP="004B5F5F"/>
    <w:p w14:paraId="2FBFDD04" w14:textId="77777777" w:rsidR="004B5F5F" w:rsidRDefault="004B5F5F" w:rsidP="004B5F5F">
      <w:r>
        <w:t>Los sistemas de CBDCs de distintas ligas son interoperables cuando comparten protocolos de mensajería, estándares de liquidación y mecanismos de arbitraje. La formulación matemática completa se escribe como sigue.</w:t>
      </w:r>
    </w:p>
    <w:p w14:paraId="6E8EB1E0" w14:textId="77777777" w:rsidR="004B5F5F" w:rsidRDefault="004B5F5F" w:rsidP="004B5F5F"/>
    <w:p w14:paraId="734ACCE4" w14:textId="77777777" w:rsidR="004B5F5F" w:rsidRDefault="004B5F5F" w:rsidP="004B5F5F">
      <w:r>
        <w:t>Interoperabilidad_Total = Σ_A Σ_B Compatibilidad_AB × Velocidad_AB / Costo_Interop_AB</w:t>
      </w:r>
    </w:p>
    <w:p w14:paraId="17A34409" w14:textId="77777777" w:rsidR="004B5F5F" w:rsidRDefault="004B5F5F" w:rsidP="004B5F5F"/>
    <w:p w14:paraId="6D75D4D3" w14:textId="77777777" w:rsidR="004B5F5F" w:rsidRDefault="004B5F5F" w:rsidP="004B5F5F">
      <w:r>
        <w:t>Donde Interoperabilidad_Total es la interoperabilidad total del sistema. Compatibilidad_AB es la compatibilidad entre la liga A y la liga B. Velocidad_AB es la velocidad de liquidación entre la liga A y la liga B. Costo_Interop_AB es el costo de interoperabilidad entre la liga A y la liga B. La justificación es que la interoperabilidad total es la suma de las interoperabilidades bilaterales, ponderadas por la compatibilidad y la velocidad, y divididas por el costo. Si la compatibilidad es alta, la velocidad es alta y el costo es bajo, la interoperabilidad es alta.</w:t>
      </w:r>
    </w:p>
    <w:p w14:paraId="5C728E66" w14:textId="77777777" w:rsidR="004B5F5F" w:rsidRDefault="004B5F5F" w:rsidP="004B5F5F"/>
    <w:p w14:paraId="31CDC0B0" w14:textId="77777777" w:rsidR="004B5F5F" w:rsidRDefault="004B5F5F" w:rsidP="004B5F5F">
      <w:r>
        <w:t>La condición de interoperabilidad se escribe como sigue.</w:t>
      </w:r>
    </w:p>
    <w:p w14:paraId="3D65ED6A" w14:textId="77777777" w:rsidR="004B5F5F" w:rsidRDefault="004B5F5F" w:rsidP="004B5F5F"/>
    <w:p w14:paraId="0A51CE4F" w14:textId="77777777" w:rsidR="004B5F5F" w:rsidRDefault="004B5F5F" w:rsidP="004B5F5F">
      <w:r>
        <w:t>Compatibilidad_AB ≥ 0.95 AND Velocidad_AB ≥ 0.90 AND Costo_Interop_AB ≤ 0.01</w:t>
      </w:r>
    </w:p>
    <w:p w14:paraId="7F645528" w14:textId="77777777" w:rsidR="004B5F5F" w:rsidRDefault="004B5F5F" w:rsidP="004B5F5F"/>
    <w:p w14:paraId="4723E308" w14:textId="77777777" w:rsidR="004B5F5F" w:rsidRDefault="004B5F5F" w:rsidP="004B5F5F">
      <w:r>
        <w:t>La justificación es que para que dos ligas sean interoperables, deben cumplir tres condiciones. La compatibilidad debe ser al menos noventa y cinco por ciento. La velocidad debe ser al menos noventa por ciento. El costo debe ser como máximo uno por ciento. Si alguna de estas condiciones no se cumple, la interoperabilidad no es plena.</w:t>
      </w:r>
    </w:p>
    <w:p w14:paraId="46C97B5A" w14:textId="77777777" w:rsidR="004B5F5F" w:rsidRDefault="004B5F5F" w:rsidP="004B5F5F"/>
    <w:p w14:paraId="3A8E168B" w14:textId="77777777" w:rsidR="004B5F5F" w:rsidRDefault="004B5F5F" w:rsidP="004B5F5F">
      <w:r>
        <w:t>Ley 10: Gobernanza</w:t>
      </w:r>
    </w:p>
    <w:p w14:paraId="7803AD15" w14:textId="77777777" w:rsidR="004B5F5F" w:rsidRDefault="004B5F5F" w:rsidP="004B5F5F"/>
    <w:p w14:paraId="4013EF9F" w14:textId="77777777" w:rsidR="004B5F5F" w:rsidRDefault="004B5F5F" w:rsidP="004B5F5F">
      <w:r>
        <w:t>La gobernanza del sistema es estable cuando las decisiones se toman por votación ponderada, con quórum suficiente, resolución de disputas vinculante y auditoría externa. La formulación matemática completa se escribe como sigue.</w:t>
      </w:r>
    </w:p>
    <w:p w14:paraId="57DC7D4E" w14:textId="77777777" w:rsidR="004B5F5F" w:rsidRDefault="004B5F5F" w:rsidP="004B5F5F"/>
    <w:p w14:paraId="40BFEB4F" w14:textId="77777777" w:rsidR="004B5F5F" w:rsidRDefault="004B5F5F" w:rsidP="004B5F5F">
      <w:r>
        <w:t>Estabilidad_Institucional = f(Quórum_Estratégico, Resolución_ij, Transparencia)</w:t>
      </w:r>
    </w:p>
    <w:p w14:paraId="1DB3049A" w14:textId="77777777" w:rsidR="004B5F5F" w:rsidRDefault="004B5F5F" w:rsidP="004B5F5F"/>
    <w:p w14:paraId="77C445AF" w14:textId="77777777" w:rsidR="004B5F5F" w:rsidRDefault="004B5F5F" w:rsidP="004B5F5F">
      <w:r>
        <w:t>Donde Estabilidad_Institucional es la estabilidad institucional del sistema. Quórum_Estratégico es el quórum para decisiones estratégicas. Resolución_ij es el mecanismo de resolución de disputas entre i y j. Transparencia es el nivel de transparencia del sistema. La justificación es que la estabilidad institucional depende de tres factores. Primero, el quórum debe ser suficiente para que las decisiones sean legítimas. Segundo, el mecanismo de resolución de disputas debe ser vinculante para que las disputas se resuelvan. Tercero, la transparencia debe ser alta para que los participantes confíen en el sistema.</w:t>
      </w:r>
    </w:p>
    <w:p w14:paraId="3FB23E30" w14:textId="77777777" w:rsidR="004B5F5F" w:rsidRDefault="004B5F5F" w:rsidP="004B5F5F"/>
    <w:p w14:paraId="34089BC4" w14:textId="77777777" w:rsidR="004B5F5F" w:rsidRDefault="004B5F5F" w:rsidP="004B5F5F">
      <w:r>
        <w:t>La condición de estabilidad se escribe como sigue.</w:t>
      </w:r>
    </w:p>
    <w:p w14:paraId="494C905C" w14:textId="77777777" w:rsidR="004B5F5F" w:rsidRDefault="004B5F5F" w:rsidP="004B5F5F"/>
    <w:p w14:paraId="194AF151" w14:textId="77777777" w:rsidR="004B5F5F" w:rsidRDefault="004B5F5F" w:rsidP="004B5F5F">
      <w:r>
        <w:t>Quórum_Estratégico ≥ 0.75 AND Transparencia ≥ 0.90 AND Resolución_ij ≤ 72h</w:t>
      </w:r>
    </w:p>
    <w:p w14:paraId="6B18665F" w14:textId="77777777" w:rsidR="004B5F5F" w:rsidRDefault="004B5F5F" w:rsidP="004B5F5F"/>
    <w:p w14:paraId="221C4253" w14:textId="77777777" w:rsidR="004B5F5F" w:rsidRDefault="004B5F5F" w:rsidP="004B5F5F">
      <w:r>
        <w:t>La justificación es que para que el sistema sea estable, el quórum debe ser al menos setenta y cinco por ciento. La transparencia debe ser al menos noventa por ciento. El plazo de resolución de disputas debe ser como máximo setenta y dos horas. Si alguna de estas condiciones no se cumple, la gobernanza no es estable.</w:t>
      </w:r>
    </w:p>
    <w:p w14:paraId="31292EB7" w14:textId="77777777" w:rsidR="004B5F5F" w:rsidRDefault="004B5F5F" w:rsidP="004B5F5F"/>
    <w:p w14:paraId="13F1DDAD" w14:textId="77777777" w:rsidR="004B5F5F" w:rsidRDefault="004B5F5F" w:rsidP="004B5F5F">
      <w:r>
        <w:t>---</w:t>
      </w:r>
    </w:p>
    <w:p w14:paraId="40D1FC5B" w14:textId="77777777" w:rsidR="004B5F5F" w:rsidRDefault="004B5F5F" w:rsidP="004B5F5F"/>
    <w:p w14:paraId="52CB05F9" w14:textId="77777777" w:rsidR="004B5F5F" w:rsidRDefault="004B5F5F" w:rsidP="004B5F5F">
      <w:r>
        <w:t>PARTE IV: PROTOCOLO CIENTÍFICO COMPLETO DE LYAPUNOV Y MONTE CARLO</w:t>
      </w:r>
    </w:p>
    <w:p w14:paraId="51B11645" w14:textId="77777777" w:rsidR="004B5F5F" w:rsidRDefault="004B5F5F" w:rsidP="004B5F5F"/>
    <w:p w14:paraId="11B035BA" w14:textId="77777777" w:rsidR="004B5F5F" w:rsidRDefault="004B5F5F" w:rsidP="004B5F5F">
      <w:r>
        <w:t>4.1. Sistema Dinámico No Lineal Completo</w:t>
      </w:r>
    </w:p>
    <w:p w14:paraId="3009E030" w14:textId="77777777" w:rsidR="004B5F5F" w:rsidRDefault="004B5F5F" w:rsidP="004B5F5F"/>
    <w:p w14:paraId="05EA4D16" w14:textId="77777777" w:rsidR="004B5F5F" w:rsidRDefault="004B5F5F" w:rsidP="004B5F5F">
      <w:r>
        <w:t>Las variables de estado extendidas del sistema TST-TBAC son diez. La primera variable es la fuga de capitales normalizada, definida como sigue.</w:t>
      </w:r>
    </w:p>
    <w:p w14:paraId="089BE896" w14:textId="77777777" w:rsidR="004B5F5F" w:rsidRDefault="004B5F5F" w:rsidP="004B5F5F"/>
    <w:p w14:paraId="603680AE" w14:textId="77777777" w:rsidR="004B5F5F" w:rsidRDefault="004B5F5F" w:rsidP="004B5F5F">
      <w:r>
        <w:t>x₁(t) = FGC(t)/FGC₀ - 1</w:t>
      </w:r>
    </w:p>
    <w:p w14:paraId="25F38A46" w14:textId="77777777" w:rsidR="004B5F5F" w:rsidRDefault="004B5F5F" w:rsidP="004B5F5F"/>
    <w:p w14:paraId="0B0C6AF6" w14:textId="77777777" w:rsidR="004B5F5F" w:rsidRDefault="004B5F5F" w:rsidP="004B5F5F">
      <w:r>
        <w:t>La segunda variable es la desviación cambiaria del tipo de cambio de paridad de poder adquisitivo, definida como sigue.</w:t>
      </w:r>
    </w:p>
    <w:p w14:paraId="76701670" w14:textId="77777777" w:rsidR="004B5F5F" w:rsidRDefault="004B5F5F" w:rsidP="004B5F5F"/>
    <w:p w14:paraId="4519B3EF" w14:textId="77777777" w:rsidR="004B5F5F" w:rsidRDefault="004B5F5F" w:rsidP="004B5F5F">
      <w:r>
        <w:t>x₂(t) = TC(t)/TC_PPA(t) - 1</w:t>
      </w:r>
    </w:p>
    <w:p w14:paraId="0618AB60" w14:textId="77777777" w:rsidR="004B5F5F" w:rsidRDefault="004B5F5F" w:rsidP="004B5F5F"/>
    <w:p w14:paraId="7B73234A" w14:textId="77777777" w:rsidR="004B5F5F" w:rsidRDefault="004B5F5F" w:rsidP="004B5F5F">
      <w:r>
        <w:t>La tercera variable es la desviación inflacionaria, definida como sigue.</w:t>
      </w:r>
    </w:p>
    <w:p w14:paraId="0B1DCE8A" w14:textId="77777777" w:rsidR="004B5F5F" w:rsidRDefault="004B5F5F" w:rsidP="004B5F5F"/>
    <w:p w14:paraId="118932F7" w14:textId="77777777" w:rsidR="004B5F5F" w:rsidRDefault="004B5F5F" w:rsidP="004B5F5F">
      <w:r>
        <w:t>x₃(t) = π(t) - π₀</w:t>
      </w:r>
    </w:p>
    <w:p w14:paraId="5774F55C" w14:textId="77777777" w:rsidR="004B5F5F" w:rsidRDefault="004B5F5F" w:rsidP="004B5F5F"/>
    <w:p w14:paraId="3CF5BD23" w14:textId="77777777" w:rsidR="004B5F5F" w:rsidRDefault="004B5F5F" w:rsidP="004B5F5F">
      <w:r>
        <w:t>La cuarta variable es la desviación de cobertura, definida como sigue.</w:t>
      </w:r>
    </w:p>
    <w:p w14:paraId="3A65C513" w14:textId="77777777" w:rsidR="004B5F5F" w:rsidRDefault="004B5F5F" w:rsidP="004B5F5F"/>
    <w:p w14:paraId="6D46502D" w14:textId="77777777" w:rsidR="004B5F5F" w:rsidRDefault="004B5F5F" w:rsidP="004B5F5F">
      <w:r>
        <w:t>x₄(t) = C(t) - C₀</w:t>
      </w:r>
    </w:p>
    <w:p w14:paraId="3D7ECC3A" w14:textId="77777777" w:rsidR="004B5F5F" w:rsidRDefault="004B5F5F" w:rsidP="004B5F5F"/>
    <w:p w14:paraId="446DACE7" w14:textId="77777777" w:rsidR="004B5F5F" w:rsidRDefault="004B5F5F" w:rsidP="004B5F5F">
      <w:r>
        <w:t>La quinta variable es la demanda de bolívares normalizada, definida como sigue.</w:t>
      </w:r>
    </w:p>
    <w:p w14:paraId="3E8EFFF9" w14:textId="77777777" w:rsidR="004B5F5F" w:rsidRDefault="004B5F5F" w:rsidP="004B5F5F"/>
    <w:p w14:paraId="0EFEB612" w14:textId="77777777" w:rsidR="004B5F5F" w:rsidRDefault="004B5F5F" w:rsidP="004B5F5F">
      <w:r>
        <w:t>x₅(t) = DB(t)/DB₀ - 1</w:t>
      </w:r>
    </w:p>
    <w:p w14:paraId="5C9B965F" w14:textId="77777777" w:rsidR="004B5F5F" w:rsidRDefault="004B5F5F" w:rsidP="004B5F5F"/>
    <w:p w14:paraId="57E49F70" w14:textId="77777777" w:rsidR="004B5F5F" w:rsidRDefault="004B5F5F" w:rsidP="004B5F5F">
      <w:r>
        <w:t>La sexta variable es el colateral normalizado, definida como sigue.</w:t>
      </w:r>
    </w:p>
    <w:p w14:paraId="78C57F39" w14:textId="77777777" w:rsidR="004B5F5F" w:rsidRDefault="004B5F5F" w:rsidP="004B5F5F"/>
    <w:p w14:paraId="4BAEB15B" w14:textId="77777777" w:rsidR="004B5F5F" w:rsidRDefault="004B5F5F" w:rsidP="004B5F5F">
      <w:r>
        <w:t>x₆(t) = VC(t)/VC₀ - 1</w:t>
      </w:r>
    </w:p>
    <w:p w14:paraId="07D6CF72" w14:textId="77777777" w:rsidR="004B5F5F" w:rsidRDefault="004B5F5F" w:rsidP="004B5F5F"/>
    <w:p w14:paraId="56E104A8" w14:textId="77777777" w:rsidR="004B5F5F" w:rsidRDefault="004B5F5F" w:rsidP="004B5F5F">
      <w:r>
        <w:t>La séptima variable es la liquidez normalizada, definida como sigue.</w:t>
      </w:r>
    </w:p>
    <w:p w14:paraId="117C7C5F" w14:textId="77777777" w:rsidR="004B5F5F" w:rsidRDefault="004B5F5F" w:rsidP="004B5F5F"/>
    <w:p w14:paraId="6FBC0C18" w14:textId="77777777" w:rsidR="004B5F5F" w:rsidRDefault="004B5F5F" w:rsidP="004B5F5F">
      <w:r>
        <w:t>x₇(t) = L(t)/L₀ - 1</w:t>
      </w:r>
    </w:p>
    <w:p w14:paraId="1C28EEC8" w14:textId="77777777" w:rsidR="004B5F5F" w:rsidRDefault="004B5F5F" w:rsidP="004B5F5F"/>
    <w:p w14:paraId="695D1E15" w14:textId="77777777" w:rsidR="004B5F5F" w:rsidRDefault="004B5F5F" w:rsidP="004B5F5F">
      <w:r>
        <w:t>La octava variable es las obligaciones netas normalizadas, definida como sigue.</w:t>
      </w:r>
    </w:p>
    <w:p w14:paraId="34580B02" w14:textId="77777777" w:rsidR="004B5F5F" w:rsidRDefault="004B5F5F" w:rsidP="004B5F5F"/>
    <w:p w14:paraId="30AB1D79" w14:textId="77777777" w:rsidR="004B5F5F" w:rsidRDefault="004B5F5F" w:rsidP="004B5F5F">
      <w:r>
        <w:t>x₈(t) = O(t)/O₀ - 1</w:t>
      </w:r>
    </w:p>
    <w:p w14:paraId="2F968B51" w14:textId="77777777" w:rsidR="004B5F5F" w:rsidRDefault="004B5F5F" w:rsidP="004B5F5F"/>
    <w:p w14:paraId="3D6B6C88" w14:textId="77777777" w:rsidR="004B5F5F" w:rsidRDefault="004B5F5F" w:rsidP="004B5F5F">
      <w:r>
        <w:t>La novena variable es la interoperabilidad normalizada, definida como sigue.</w:t>
      </w:r>
    </w:p>
    <w:p w14:paraId="5D2F6988" w14:textId="77777777" w:rsidR="004B5F5F" w:rsidRDefault="004B5F5F" w:rsidP="004B5F5F"/>
    <w:p w14:paraId="7EF07539" w14:textId="77777777" w:rsidR="004B5F5F" w:rsidRDefault="004B5F5F" w:rsidP="004B5F5F">
      <w:r>
        <w:t>x₉(t) = I(t)/I₀ - 1</w:t>
      </w:r>
    </w:p>
    <w:p w14:paraId="69CDFE58" w14:textId="77777777" w:rsidR="004B5F5F" w:rsidRDefault="004B5F5F" w:rsidP="004B5F5F"/>
    <w:p w14:paraId="1EA372E0" w14:textId="77777777" w:rsidR="004B5F5F" w:rsidRDefault="004B5F5F" w:rsidP="004B5F5F">
      <w:r>
        <w:t>La décima variable es la gobernanza normalizada, definida como sigue.</w:t>
      </w:r>
    </w:p>
    <w:p w14:paraId="7F7ACD58" w14:textId="77777777" w:rsidR="004B5F5F" w:rsidRDefault="004B5F5F" w:rsidP="004B5F5F"/>
    <w:p w14:paraId="25249E3C" w14:textId="77777777" w:rsidR="004B5F5F" w:rsidRDefault="004B5F5F" w:rsidP="004B5F5F">
      <w:r>
        <w:t>x₁₀(t) = G(t)/G₀ - 1</w:t>
      </w:r>
    </w:p>
    <w:p w14:paraId="08D7219E" w14:textId="77777777" w:rsidR="004B5F5F" w:rsidRDefault="004B5F5F" w:rsidP="004B5F5F"/>
    <w:p w14:paraId="40315841" w14:textId="77777777" w:rsidR="004B5F5F" w:rsidRDefault="004B5F5F" w:rsidP="004B5F5F">
      <w:r>
        <w:t>El sistema de ecuaciones diferenciales que rige la evolución de estas variables se escribe como sigue.</w:t>
      </w:r>
    </w:p>
    <w:p w14:paraId="401395BF" w14:textId="77777777" w:rsidR="004B5F5F" w:rsidRDefault="004B5F5F" w:rsidP="004B5F5F"/>
    <w:p w14:paraId="4A649BF3" w14:textId="77777777" w:rsidR="004B5F5F" w:rsidRDefault="004B5F5F" w:rsidP="004B5F5F">
      <w:r>
        <w:t>dx₁/dt = -γ·x₂·x₄·(1 + x₁) + w₁(t)</w:t>
      </w:r>
    </w:p>
    <w:p w14:paraId="10BF91C5" w14:textId="77777777" w:rsidR="004B5F5F" w:rsidRDefault="004B5F5F" w:rsidP="004B5F5F"/>
    <w:p w14:paraId="2047F9E7" w14:textId="77777777" w:rsidR="004B5F5F" w:rsidRDefault="004B5F5F" w:rsidP="004B5F5F">
      <w:r>
        <w:t>dx₂/dt = -θ·x₄·x₂ + w₂(t)</w:t>
      </w:r>
    </w:p>
    <w:p w14:paraId="044AC367" w14:textId="77777777" w:rsidR="004B5F5F" w:rsidRDefault="004B5F5F" w:rsidP="004B5F5F"/>
    <w:p w14:paraId="4336E789" w14:textId="77777777" w:rsidR="004B5F5F" w:rsidRDefault="004B5F5F" w:rsidP="004B5F5F">
      <w:r>
        <w:t>dx₃/dt = -η·x₂·x₃ - ζ·x₄ + w₃(t)</w:t>
      </w:r>
    </w:p>
    <w:p w14:paraId="2C5D578D" w14:textId="77777777" w:rsidR="004B5F5F" w:rsidRDefault="004B5F5F" w:rsidP="004B5F5F"/>
    <w:p w14:paraId="13F47B77" w14:textId="77777777" w:rsidR="004B5F5F" w:rsidRDefault="004B5F5F" w:rsidP="004B5F5F">
      <w:r>
        <w:t>dx₄/dt = κ·(x₁ - x₄) + w₄(t)</w:t>
      </w:r>
    </w:p>
    <w:p w14:paraId="25314366" w14:textId="77777777" w:rsidR="004B5F5F" w:rsidRDefault="004B5F5F" w:rsidP="004B5F5F"/>
    <w:p w14:paraId="6DF35840" w14:textId="77777777" w:rsidR="004B5F5F" w:rsidRDefault="004B5F5F" w:rsidP="004B5F5F">
      <w:r>
        <w:t>dx₅/dt = λ·x₄ + μ·x₃ + ν·dx₂/dt + w₅(t)</w:t>
      </w:r>
    </w:p>
    <w:p w14:paraId="2B8D71EF" w14:textId="77777777" w:rsidR="004B5F5F" w:rsidRDefault="004B5F5F" w:rsidP="004B5F5F"/>
    <w:p w14:paraId="6C5899D7" w14:textId="77777777" w:rsidR="004B5F5F" w:rsidRDefault="004B5F5F" w:rsidP="004B5F5F">
      <w:r>
        <w:t>dx₆/dt = -α₆·x₆ + β₆·(x₄ - x₆) + w₆(t)</w:t>
      </w:r>
    </w:p>
    <w:p w14:paraId="1E12B9E7" w14:textId="77777777" w:rsidR="004B5F5F" w:rsidRDefault="004B5F5F" w:rsidP="004B5F5F"/>
    <w:p w14:paraId="4F72A2DE" w14:textId="77777777" w:rsidR="004B5F5F" w:rsidRDefault="004B5F5F" w:rsidP="004B5F5F">
      <w:r>
        <w:t>dx₇/dt = -α₇·x₇ + β₇·(x₅ - x₇) + w₇(t)</w:t>
      </w:r>
    </w:p>
    <w:p w14:paraId="7BDEF137" w14:textId="77777777" w:rsidR="004B5F5F" w:rsidRDefault="004B5F5F" w:rsidP="004B5F5F"/>
    <w:p w14:paraId="32D8D1A1" w14:textId="77777777" w:rsidR="004B5F5F" w:rsidRDefault="004B5F5F" w:rsidP="004B5F5F">
      <w:r>
        <w:t>dx₈/dt = -α₈·x₈ + β₈·(x₆ - x₈) + w₈(t)</w:t>
      </w:r>
    </w:p>
    <w:p w14:paraId="42EED0B3" w14:textId="77777777" w:rsidR="004B5F5F" w:rsidRDefault="004B5F5F" w:rsidP="004B5F5F"/>
    <w:p w14:paraId="5EC93A3E" w14:textId="77777777" w:rsidR="004B5F5F" w:rsidRDefault="004B5F5F" w:rsidP="004B5F5F">
      <w:r>
        <w:t>dx₉/dt = -α₉·x₉ + β₉·(x₇ - x₉) + w₉(t)</w:t>
      </w:r>
    </w:p>
    <w:p w14:paraId="68CC46D8" w14:textId="77777777" w:rsidR="004B5F5F" w:rsidRDefault="004B5F5F" w:rsidP="004B5F5F"/>
    <w:p w14:paraId="7FC6C300" w14:textId="77777777" w:rsidR="004B5F5F" w:rsidRDefault="004B5F5F" w:rsidP="004B5F5F">
      <w:r>
        <w:t>dx₁₀/dt = -α₁₀·x₁₀ + β₁₀·(x₈ - x₁₀) + w₁₀(t)</w:t>
      </w:r>
    </w:p>
    <w:p w14:paraId="0733E4D8" w14:textId="77777777" w:rsidR="004B5F5F" w:rsidRDefault="004B5F5F" w:rsidP="004B5F5F"/>
    <w:p w14:paraId="6CDEE019" w14:textId="77777777" w:rsidR="004B5F5F" w:rsidRDefault="004B5F5F" w:rsidP="004B5F5F">
      <w:r>
        <w:t>Donde w</w:t>
      </w:r>
      <w:r>
        <w:rPr>
          <w:rFonts w:ascii="Arial" w:hAnsi="Arial" w:cs="Arial"/>
        </w:rPr>
        <w:t>ᵢ</w:t>
      </w:r>
      <w:r>
        <w:t>(t) son procesos de Wiener correlacionados. La justificación de cada ecuación es la siguiente. La primera ecuación dice que la fuga de capitales disminuye cuando el tipo de cambio se revaloriza (x₂ negativo) y la cobertura aumenta (x₄ positivo). La segunda dice que la desviación cambiaria disminuye cuando la cobertura aumenta. La tercera dice que la inflación disminuye cuando la brecha cambiaria es positiva y la cobertura aumenta. La cuarta dice que la cobertura converge a la fuga de capitales. La quinta dice que la demanda de bolívares aumenta con la cobertura y la inflación, y disminuye con la devaluación. Las ecuaciones sexta a décima dicen que el colateral, la liquidez, las obligaciones, la interoperabilidad y la gobernanza convergen a sus valores objetivo con amortiguamiento.</w:t>
      </w:r>
    </w:p>
    <w:p w14:paraId="3D4810AC" w14:textId="77777777" w:rsidR="004B5F5F" w:rsidRDefault="004B5F5F" w:rsidP="004B5F5F"/>
    <w:p w14:paraId="10B47E6A" w14:textId="77777777" w:rsidR="004B5F5F" w:rsidRDefault="004B5F5F" w:rsidP="004B5F5F">
      <w:r>
        <w:t>4.2. Función de Lyapunov Compuesta</w:t>
      </w:r>
    </w:p>
    <w:p w14:paraId="77625982" w14:textId="77777777" w:rsidR="004B5F5F" w:rsidRDefault="004B5F5F" w:rsidP="004B5F5F"/>
    <w:p w14:paraId="1310C87D" w14:textId="77777777" w:rsidR="004B5F5F" w:rsidRDefault="004B5F5F" w:rsidP="004B5F5F">
      <w:r>
        <w:t>La función de Lyapunov compuesta se escribe como sigue.</w:t>
      </w:r>
    </w:p>
    <w:p w14:paraId="05E82B6C" w14:textId="77777777" w:rsidR="004B5F5F" w:rsidRDefault="004B5F5F" w:rsidP="004B5F5F"/>
    <w:p w14:paraId="36D670B4" w14:textId="77777777" w:rsidR="004B5F5F" w:rsidRDefault="004B5F5F" w:rsidP="004B5F5F">
      <w:r>
        <w:t>V(x) = ½[α₁x₁² + α₂x₂² + α₃x₃² + α₄x₄² + α₅x₅² + α₆x₆² + α₇x₇² + α₈x₈² + α₉x₉² + α₁₀x₁₀² + 2β₁₂x₁x₂ + 2β₁₃x₁x₃ + 2β₂₃x₂x₃ + 2β₄₅x₄x₅ + 2β₆₇x₆x₇ + 2β₈₉x₈x₉ + 2β₉₁₀x₉x₁₀]</w:t>
      </w:r>
    </w:p>
    <w:p w14:paraId="5BAE7225" w14:textId="77777777" w:rsidR="004B5F5F" w:rsidRDefault="004B5F5F" w:rsidP="004B5F5F"/>
    <w:p w14:paraId="4E5DDD97" w14:textId="77777777" w:rsidR="004B5F5F" w:rsidRDefault="004B5F5F" w:rsidP="004B5F5F">
      <w:r>
        <w:t>Donde α₁ a α₁₀ son los coeficientes de peso de cada variable. β₁₂, β₁₃, β₂₃, β₄₅, β₆₇, β₈₉ y β₉₁₀ son los coeficientes de acoplamiento entre pares de variables. La justificación es que la función de Lyapunov mide la energía total del sistema. Si la energía disminuye con el tiempo, el sistema es estable. Si la energía aumenta, el sistema es inestable. Los términos cuadráticos miden la energía de cada variable por separado. Los términos cruzados miden la energía de interacción entre pares de variables.</w:t>
      </w:r>
    </w:p>
    <w:p w14:paraId="020AD622" w14:textId="77777777" w:rsidR="004B5F5F" w:rsidRDefault="004B5F5F" w:rsidP="004B5F5F"/>
    <w:p w14:paraId="74C57585" w14:textId="77777777" w:rsidR="004B5F5F" w:rsidRDefault="004B5F5F" w:rsidP="004B5F5F">
      <w:r>
        <w:t>La matriz de pesos P se escribe como sigue.</w:t>
      </w:r>
    </w:p>
    <w:p w14:paraId="563A5EBC" w14:textId="77777777" w:rsidR="004B5F5F" w:rsidRDefault="004B5F5F" w:rsidP="004B5F5F"/>
    <w:p w14:paraId="185146F7" w14:textId="77777777" w:rsidR="004B5F5F" w:rsidRDefault="004B5F5F" w:rsidP="004B5F5F">
      <w:r>
        <w:t>P = [α₁ β₁₂ β₁₃ 0 0 0 0 0 0 0</w:t>
      </w:r>
    </w:p>
    <w:p w14:paraId="011C1E18" w14:textId="77777777" w:rsidR="004B5F5F" w:rsidRDefault="004B5F5F" w:rsidP="004B5F5F">
      <w:r>
        <w:t>β₁₂ α₂ β₂₃ 0 0 0 0 0 0 0</w:t>
      </w:r>
    </w:p>
    <w:p w14:paraId="2EBB2037" w14:textId="77777777" w:rsidR="004B5F5F" w:rsidRDefault="004B5F5F" w:rsidP="004B5F5F">
      <w:r>
        <w:t>β₁₃ β₂₃ α₃ 0 0 0 0 0 0 0</w:t>
      </w:r>
    </w:p>
    <w:p w14:paraId="5BCF98E0" w14:textId="77777777" w:rsidR="004B5F5F" w:rsidRDefault="004B5F5F" w:rsidP="004B5F5F">
      <w:r>
        <w:t>0 0 0 α₄ β₄₅ 0 0 0 0 0</w:t>
      </w:r>
    </w:p>
    <w:p w14:paraId="4628A5E0" w14:textId="77777777" w:rsidR="004B5F5F" w:rsidRDefault="004B5F5F" w:rsidP="004B5F5F">
      <w:r>
        <w:t>0 0 0 β₄₅ α₅ 0 0 0 0 0</w:t>
      </w:r>
    </w:p>
    <w:p w14:paraId="2070521A" w14:textId="77777777" w:rsidR="004B5F5F" w:rsidRDefault="004B5F5F" w:rsidP="004B5F5F">
      <w:r>
        <w:t>0 0 0 0 0 α₆ β₆₇ 0 0 0</w:t>
      </w:r>
    </w:p>
    <w:p w14:paraId="100A6D1D" w14:textId="77777777" w:rsidR="004B5F5F" w:rsidRDefault="004B5F5F" w:rsidP="004B5F5F">
      <w:r>
        <w:t>0 0 0 0 0 β₆₇ α₇ 0 0 0</w:t>
      </w:r>
    </w:p>
    <w:p w14:paraId="7B08B7D1" w14:textId="77777777" w:rsidR="004B5F5F" w:rsidRDefault="004B5F5F" w:rsidP="004B5F5F">
      <w:r>
        <w:t>0 0 0 0 0 0 0 α₈ β₈₉ 0</w:t>
      </w:r>
    </w:p>
    <w:p w14:paraId="1880B54E" w14:textId="77777777" w:rsidR="004B5F5F" w:rsidRDefault="004B5F5F" w:rsidP="004B5F5F">
      <w:r>
        <w:t>0 0 0 0 0 0 0 β₈₉ α₉ β₉₁₀</w:t>
      </w:r>
    </w:p>
    <w:p w14:paraId="1CB825DD" w14:textId="77777777" w:rsidR="004B5F5F" w:rsidRDefault="004B5F5F" w:rsidP="004B5F5F">
      <w:r>
        <w:t>0 0 0 0 0 0 0 0 β₉₁₀ α₁₀]</w:t>
      </w:r>
    </w:p>
    <w:p w14:paraId="5F914F6C" w14:textId="77777777" w:rsidR="004B5F5F" w:rsidRDefault="004B5F5F" w:rsidP="004B5F5F"/>
    <w:p w14:paraId="64A0CEA7" w14:textId="77777777" w:rsidR="004B5F5F" w:rsidRDefault="004B5F5F" w:rsidP="004B5F5F">
      <w:r>
        <w:t>La condición para que la función de Lyapunov sea válida es que la matriz P sea definida positiva. La justificación es que si P no es definida positiva, la función de Lyapunov puede tomar valores negativos, lo que rompe la interpretación de energía.</w:t>
      </w:r>
    </w:p>
    <w:p w14:paraId="0824D681" w14:textId="77777777" w:rsidR="004B5F5F" w:rsidRDefault="004B5F5F" w:rsidP="004B5F5F"/>
    <w:p w14:paraId="0845D3AE" w14:textId="77777777" w:rsidR="004B5F5F" w:rsidRDefault="004B5F5F" w:rsidP="004B5F5F">
      <w:r>
        <w:t>4.3. Análisis Completo de Estabilidad</w:t>
      </w:r>
    </w:p>
    <w:p w14:paraId="79D67241" w14:textId="77777777" w:rsidR="004B5F5F" w:rsidRDefault="004B5F5F" w:rsidP="004B5F5F"/>
    <w:p w14:paraId="32EA22B9" w14:textId="77777777" w:rsidR="004B5F5F" w:rsidRDefault="004B5F5F" w:rsidP="004B5F5F">
      <w:r>
        <w:t>La derivada de Lyapunov expandida se escribe como sigue.</w:t>
      </w:r>
    </w:p>
    <w:p w14:paraId="5B42D777" w14:textId="77777777" w:rsidR="004B5F5F" w:rsidRDefault="004B5F5F" w:rsidP="004B5F5F"/>
    <w:p w14:paraId="2E50DC47" w14:textId="77777777" w:rsidR="004B5F5F" w:rsidRDefault="004B5F5F" w:rsidP="004B5F5F">
      <w:r>
        <w:t>dV/dt = α₁x₁[-γx₂x₄(1+x₁)+w₁] + α₂x₂[-θx₄x₂+w₂] + α₃x₃[-ηx₂x₃-ζx₄+w₃] + α₄x₄[κ(x₁-x₄)+w₄] + α₅x₅[λx₄+μx₃+νdx₂/dt+w₅] + α₆x₆[-α₆x₆+β₆(x₄-x₆)+w₆] + α₇x₇[-α₇x₇+β₇(x₅-x₇)+w₇] + α₈x₈[-α₈x₈+β₈(x₆-x₈)+w₈] + α₉x₉[-α₉x₉+β₉(x₇-x₉)+w₉] + α₁₀x₁₀[-α₁₀x₁₀+β₁₀(x₈-x₁₀)+w₁₀] + términos cruzados β</w:t>
      </w:r>
      <w:r>
        <w:rPr>
          <w:rFonts w:ascii="Arial" w:hAnsi="Arial" w:cs="Arial"/>
        </w:rPr>
        <w:t>ᵢⱼ</w:t>
      </w:r>
    </w:p>
    <w:p w14:paraId="6F1F66C8" w14:textId="77777777" w:rsidR="004B5F5F" w:rsidRDefault="004B5F5F" w:rsidP="004B5F5F"/>
    <w:p w14:paraId="22B70271" w14:textId="77777777" w:rsidR="004B5F5F" w:rsidRDefault="004B5F5F" w:rsidP="004B5F5F">
      <w:r>
        <w:t>La justificación es que la derivada de Lyapunov mide la tasa de cambio de la energía del sistema. Si la derivada es negativa definida, la energía disminuye con el tiempo, y el sistema converge al equilibrio. Si la derivada es positiva, la energía aumenta, y el sistema diverge.</w:t>
      </w:r>
    </w:p>
    <w:p w14:paraId="61E55F39" w14:textId="77777777" w:rsidR="004B5F5F" w:rsidRDefault="004B5F5F" w:rsidP="004B5F5F"/>
    <w:p w14:paraId="3782F40F" w14:textId="77777777" w:rsidR="004B5F5F" w:rsidRDefault="004B5F5F" w:rsidP="004B5F5F">
      <w:r>
        <w:t>Las condiciones para la estabilidad global son tres. La primera condición es la dominancia diagonal, que se escribe como sigue.</w:t>
      </w:r>
    </w:p>
    <w:p w14:paraId="35D9C1EF" w14:textId="77777777" w:rsidR="004B5F5F" w:rsidRDefault="004B5F5F" w:rsidP="004B5F5F"/>
    <w:p w14:paraId="7DF1C988" w14:textId="77777777" w:rsidR="004B5F5F" w:rsidRDefault="004B5F5F" w:rsidP="004B5F5F">
      <w:r>
        <w:t>α₁γ &gt; |β₁₂| + |β₁₃| + ½(σ₁²/ε)</w:t>
      </w:r>
    </w:p>
    <w:p w14:paraId="3FCD7332" w14:textId="77777777" w:rsidR="004B5F5F" w:rsidRDefault="004B5F5F" w:rsidP="004B5F5F"/>
    <w:p w14:paraId="47C92AB1" w14:textId="77777777" w:rsidR="004B5F5F" w:rsidRDefault="004B5F5F" w:rsidP="004B5F5F">
      <w:r>
        <w:t>α₂θ &gt; |β₁₂| + |β₂₃| + ½(σ₂²/ε)</w:t>
      </w:r>
    </w:p>
    <w:p w14:paraId="0B77A6DD" w14:textId="77777777" w:rsidR="004B5F5F" w:rsidRDefault="004B5F5F" w:rsidP="004B5F5F"/>
    <w:p w14:paraId="0849289B" w14:textId="77777777" w:rsidR="004B5F5F" w:rsidRDefault="004B5F5F" w:rsidP="004B5F5F">
      <w:r>
        <w:t>α₃η &gt; |β₁₃| + |β₂₃| + ½(σ₃²/ε)</w:t>
      </w:r>
    </w:p>
    <w:p w14:paraId="79A77E3F" w14:textId="77777777" w:rsidR="004B5F5F" w:rsidRDefault="004B5F5F" w:rsidP="004B5F5F"/>
    <w:p w14:paraId="29A34314" w14:textId="77777777" w:rsidR="004B5F5F" w:rsidRDefault="004B5F5F" w:rsidP="004B5F5F">
      <w:r>
        <w:t>α₄κ &gt; |β₄₅| + ½(σ₄²/ε)</w:t>
      </w:r>
    </w:p>
    <w:p w14:paraId="77512A68" w14:textId="77777777" w:rsidR="004B5F5F" w:rsidRDefault="004B5F5F" w:rsidP="004B5F5F"/>
    <w:p w14:paraId="7FD4D74E" w14:textId="77777777" w:rsidR="004B5F5F" w:rsidRDefault="004B5F5F" w:rsidP="004B5F5F">
      <w:r>
        <w:t>α₅ &gt; ½(σ₅²/ε)</w:t>
      </w:r>
    </w:p>
    <w:p w14:paraId="2354D189" w14:textId="77777777" w:rsidR="004B5F5F" w:rsidRDefault="004B5F5F" w:rsidP="004B5F5F"/>
    <w:p w14:paraId="07F7348A" w14:textId="77777777" w:rsidR="004B5F5F" w:rsidRDefault="004B5F5F" w:rsidP="004B5F5F">
      <w:r>
        <w:t>α₆α₆ &gt; |β₆₇| + ½(σ₆²/ε)</w:t>
      </w:r>
    </w:p>
    <w:p w14:paraId="31A7355A" w14:textId="77777777" w:rsidR="004B5F5F" w:rsidRDefault="004B5F5F" w:rsidP="004B5F5F"/>
    <w:p w14:paraId="76B67F68" w14:textId="77777777" w:rsidR="004B5F5F" w:rsidRDefault="004B5F5F" w:rsidP="004B5F5F">
      <w:r>
        <w:t>α₇α₇ &gt; |β₆₇| + ½(σ₇²/ε)</w:t>
      </w:r>
    </w:p>
    <w:p w14:paraId="52429E15" w14:textId="77777777" w:rsidR="004B5F5F" w:rsidRDefault="004B5F5F" w:rsidP="004B5F5F"/>
    <w:p w14:paraId="60B77BA5" w14:textId="77777777" w:rsidR="004B5F5F" w:rsidRDefault="004B5F5F" w:rsidP="004B5F5F">
      <w:r>
        <w:t>α₈α₈ &gt; |β₈₉| + ½(σ₈²/ε)</w:t>
      </w:r>
    </w:p>
    <w:p w14:paraId="7A0F57FB" w14:textId="77777777" w:rsidR="004B5F5F" w:rsidRDefault="004B5F5F" w:rsidP="004B5F5F"/>
    <w:p w14:paraId="39AF3FBB" w14:textId="77777777" w:rsidR="004B5F5F" w:rsidRDefault="004B5F5F" w:rsidP="004B5F5F">
      <w:r>
        <w:t>α₉α₉ &gt; |β₈₉| + |β₉₁₀| + ½(σ₉²/ε)</w:t>
      </w:r>
    </w:p>
    <w:p w14:paraId="132CB30A" w14:textId="77777777" w:rsidR="004B5F5F" w:rsidRDefault="004B5F5F" w:rsidP="004B5F5F"/>
    <w:p w14:paraId="34DD52C3" w14:textId="77777777" w:rsidR="004B5F5F" w:rsidRDefault="004B5F5F" w:rsidP="004B5F5F">
      <w:r>
        <w:t>α₁₀α₁₀ &gt; |β₉₁₀| + ½(σ₁₀²/ε)</w:t>
      </w:r>
    </w:p>
    <w:p w14:paraId="29BCCB4C" w14:textId="77777777" w:rsidR="004B5F5F" w:rsidRDefault="004B5F5F" w:rsidP="004B5F5F"/>
    <w:p w14:paraId="4ACFEEE3" w14:textId="77777777" w:rsidR="004B5F5F" w:rsidRDefault="004B5F5F" w:rsidP="004B5F5F">
      <w:r>
        <w:t>La justificación es que cada coeficiente de peso multiplicado por su coeficiente de amortiguamiento debe ser mayor que la suma de los valores absolutos de los acoplamientos más la mitad del cociente entre la varianza del ruido y el épsilon de estabilidad. Esto garantiza que el término diagonal de la derivada de Lyapunov domine sobre los términos cruzados y el ruido.</w:t>
      </w:r>
    </w:p>
    <w:p w14:paraId="260C50DC" w14:textId="77777777" w:rsidR="004B5F5F" w:rsidRDefault="004B5F5F" w:rsidP="004B5F5F"/>
    <w:p w14:paraId="4186CBF5" w14:textId="77777777" w:rsidR="004B5F5F" w:rsidRDefault="004B5F5F" w:rsidP="004B5F5F">
      <w:r>
        <w:t>La segunda condición es el acotamiento de los términos cruzados, que se escribe como sigue.</w:t>
      </w:r>
    </w:p>
    <w:p w14:paraId="6B4B4D25" w14:textId="77777777" w:rsidR="004B5F5F" w:rsidRDefault="004B5F5F" w:rsidP="004B5F5F"/>
    <w:p w14:paraId="42DB67CC" w14:textId="77777777" w:rsidR="004B5F5F" w:rsidRDefault="004B5F5F" w:rsidP="004B5F5F">
      <w:r>
        <w:t>|β₁₂| &lt; ⅓√(α₁α₂)·min(γ,θ)</w:t>
      </w:r>
    </w:p>
    <w:p w14:paraId="7629D18D" w14:textId="77777777" w:rsidR="004B5F5F" w:rsidRDefault="004B5F5F" w:rsidP="004B5F5F"/>
    <w:p w14:paraId="3D590343" w14:textId="77777777" w:rsidR="004B5F5F" w:rsidRDefault="004B5F5F" w:rsidP="004B5F5F">
      <w:r>
        <w:t>|β₁₃| &lt; ⅓√(α₁α₃)·min(γ,η)</w:t>
      </w:r>
    </w:p>
    <w:p w14:paraId="1ADEF0B1" w14:textId="77777777" w:rsidR="004B5F5F" w:rsidRDefault="004B5F5F" w:rsidP="004B5F5F"/>
    <w:p w14:paraId="75C4777C" w14:textId="77777777" w:rsidR="004B5F5F" w:rsidRDefault="004B5F5F" w:rsidP="004B5F5F">
      <w:r>
        <w:t>|β₂₃| &lt; ⅓√(α₂α₃)·min(θ,η)</w:t>
      </w:r>
    </w:p>
    <w:p w14:paraId="0D28D14D" w14:textId="77777777" w:rsidR="004B5F5F" w:rsidRDefault="004B5F5F" w:rsidP="004B5F5F"/>
    <w:p w14:paraId="71F2372F" w14:textId="77777777" w:rsidR="004B5F5F" w:rsidRDefault="004B5F5F" w:rsidP="004B5F5F">
      <w:r>
        <w:t>|β₄₅| &lt; ⅓√(α₄α₅)·min(κ,λ)</w:t>
      </w:r>
    </w:p>
    <w:p w14:paraId="743BF976" w14:textId="77777777" w:rsidR="004B5F5F" w:rsidRDefault="004B5F5F" w:rsidP="004B5F5F"/>
    <w:p w14:paraId="3BDE1995" w14:textId="77777777" w:rsidR="004B5F5F" w:rsidRDefault="004B5F5F" w:rsidP="004B5F5F">
      <w:r>
        <w:t>|β₆₇| &lt; ⅓√(α₆α₇)·min(α₆,α₇)</w:t>
      </w:r>
    </w:p>
    <w:p w14:paraId="52882A64" w14:textId="77777777" w:rsidR="004B5F5F" w:rsidRDefault="004B5F5F" w:rsidP="004B5F5F"/>
    <w:p w14:paraId="4CCF202F" w14:textId="77777777" w:rsidR="004B5F5F" w:rsidRDefault="004B5F5F" w:rsidP="004B5F5F">
      <w:r>
        <w:t>|β₈₉| &lt; ⅓√(α₈α₉)·min(α₈,α₉)</w:t>
      </w:r>
    </w:p>
    <w:p w14:paraId="41128D75" w14:textId="77777777" w:rsidR="004B5F5F" w:rsidRDefault="004B5F5F" w:rsidP="004B5F5F"/>
    <w:p w14:paraId="7FC987EF" w14:textId="77777777" w:rsidR="004B5F5F" w:rsidRDefault="004B5F5F" w:rsidP="004B5F5F">
      <w:r>
        <w:t>|β₉₁₀| &lt; ⅓√(α₉α₁₀)·min(α₉,α₁₀)</w:t>
      </w:r>
    </w:p>
    <w:p w14:paraId="7170D222" w14:textId="77777777" w:rsidR="004B5F5F" w:rsidRDefault="004B5F5F" w:rsidP="004B5F5F"/>
    <w:p w14:paraId="103A5B5D" w14:textId="77777777" w:rsidR="004B5F5F" w:rsidRDefault="004B5F5F" w:rsidP="004B5F5F">
      <w:r>
        <w:t>La justificación es que cada coeficiente de acoplamiento debe ser menor que un tercio de la raíz cuadrada del producto de los coeficientes de peso, multiplicado por el mínimo de los coeficientes de amortiguamiento correspondientes. Esto garantiza que los términos cruzados no dominen sobre los términos diagonales.</w:t>
      </w:r>
    </w:p>
    <w:p w14:paraId="29CFBFC0" w14:textId="77777777" w:rsidR="004B5F5F" w:rsidRDefault="004B5F5F" w:rsidP="004B5F5F"/>
    <w:p w14:paraId="21FBEEBC" w14:textId="77777777" w:rsidR="004B5F5F" w:rsidRDefault="004B5F5F" w:rsidP="004B5F5F">
      <w:r>
        <w:t>La tercera condición es el límite de las perturbaciones, que se escribe como sigue.</w:t>
      </w:r>
    </w:p>
    <w:p w14:paraId="59026ECC" w14:textId="77777777" w:rsidR="004B5F5F" w:rsidRDefault="004B5F5F" w:rsidP="004B5F5F"/>
    <w:p w14:paraId="4D617368" w14:textId="77777777" w:rsidR="004B5F5F" w:rsidRDefault="004B5F5F" w:rsidP="004B5F5F">
      <w:r>
        <w:t>E[∫₀</w:t>
      </w:r>
      <w:r>
        <w:rPr>
          <w:rFonts w:ascii="Arial" w:hAnsi="Arial" w:cs="Arial"/>
        </w:rPr>
        <w:t>ᵗ</w:t>
      </w:r>
      <w:r>
        <w:t xml:space="preserve"> w</w:t>
      </w:r>
      <w:r>
        <w:rPr>
          <w:rFonts w:ascii="Arial" w:hAnsi="Arial" w:cs="Arial"/>
        </w:rPr>
        <w:t>ᵢ</w:t>
      </w:r>
      <w:r>
        <w:t>²(s)ds] &lt; ∞ para todo t &gt; 0</w:t>
      </w:r>
    </w:p>
    <w:p w14:paraId="2E953AD1" w14:textId="77777777" w:rsidR="004B5F5F" w:rsidRDefault="004B5F5F" w:rsidP="004B5F5F"/>
    <w:p w14:paraId="2DFE3C31" w14:textId="77777777" w:rsidR="004B5F5F" w:rsidRDefault="004B5F5F" w:rsidP="004B5F5F">
      <w:r>
        <w:t>sup E[w</w:t>
      </w:r>
      <w:r>
        <w:rPr>
          <w:rFonts w:ascii="Arial" w:hAnsi="Arial" w:cs="Arial"/>
        </w:rPr>
        <w:t>ᵢ</w:t>
      </w:r>
      <w:r>
        <w:t>²(t)] &lt; M para todo i</w:t>
      </w:r>
    </w:p>
    <w:p w14:paraId="0D57FC98" w14:textId="77777777" w:rsidR="004B5F5F" w:rsidRDefault="004B5F5F" w:rsidP="004B5F5F"/>
    <w:p w14:paraId="03821011" w14:textId="77777777" w:rsidR="004B5F5F" w:rsidRDefault="004B5F5F" w:rsidP="004B5F5F">
      <w:r>
        <w:t>La justificación es que la esperanza de la integral del cuadrado de cada proceso de Wiener debe ser finita para todo t mayor que cero. El supremo de la esperanza del cuadrado de cada proceso de Wiener debe ser menor que una constante M. Esto garantiza que el ruido no crezca sin límite.</w:t>
      </w:r>
    </w:p>
    <w:p w14:paraId="2FAEFC2C" w14:textId="77777777" w:rsidR="004B5F5F" w:rsidRDefault="004B5F5F" w:rsidP="004B5F5F"/>
    <w:p w14:paraId="670CECF6" w14:textId="77777777" w:rsidR="004B5F5F" w:rsidRDefault="004B5F5F" w:rsidP="004B5F5F">
      <w:r>
        <w:t>4.4. Teoremas de Estabilidad</w:t>
      </w:r>
    </w:p>
    <w:p w14:paraId="75EB966B" w14:textId="77777777" w:rsidR="004B5F5F" w:rsidRDefault="004B5F5F" w:rsidP="004B5F5F"/>
    <w:p w14:paraId="69F68D24" w14:textId="77777777" w:rsidR="004B5F5F" w:rsidRDefault="004B5F5F" w:rsidP="004B5F5F">
      <w:r>
        <w:t>El primer teorema establece que bajo las condiciones de dominancia diagonal, acotamiento de términos cruzados y límite de perturbaciones, el sistema de criptobonos NFT es globalmente asintóticamente estable en el sentido de Lyapunov. La formulación matemática se escribe como sigue.</w:t>
      </w:r>
    </w:p>
    <w:p w14:paraId="32918B1A" w14:textId="77777777" w:rsidR="004B5F5F" w:rsidRDefault="004B5F5F" w:rsidP="004B5F5F"/>
    <w:p w14:paraId="149222F0" w14:textId="77777777" w:rsidR="004B5F5F" w:rsidRDefault="004B5F5F" w:rsidP="004B5F5F">
      <w:r>
        <w:t>lim(t→∞) E[||x(t)||²] = 0</w:t>
      </w:r>
    </w:p>
    <w:p w14:paraId="45531765" w14:textId="77777777" w:rsidR="004B5F5F" w:rsidRDefault="004B5F5F" w:rsidP="004B5F5F"/>
    <w:p w14:paraId="1FB55F1A" w14:textId="77777777" w:rsidR="004B5F5F" w:rsidRDefault="004B5F5F" w:rsidP="004B5F5F">
      <w:r>
        <w:t>lim(t→∞) P{sup||x(t)|| &gt; ε} = 0 para todo ε &gt; 0</w:t>
      </w:r>
    </w:p>
    <w:p w14:paraId="0C0E2105" w14:textId="77777777" w:rsidR="004B5F5F" w:rsidRDefault="004B5F5F" w:rsidP="004B5F5F"/>
    <w:p w14:paraId="1515759D" w14:textId="77777777" w:rsidR="004B5F5F" w:rsidRDefault="004B5F5F" w:rsidP="004B5F5F">
      <w:r>
        <w:t>La justificación es que la esperanza del cuadrado de la norma del vector de estado tiende a cero cuando el tiempo tiende a infinito. La probabilidad de que el supremo de la norma del vector de estado sea mayor que épsilon tiende a cero para todo épsilon mayor que cero.</w:t>
      </w:r>
    </w:p>
    <w:p w14:paraId="734DD5BC" w14:textId="77777777" w:rsidR="004B5F5F" w:rsidRDefault="004B5F5F" w:rsidP="004B5F5F"/>
    <w:p w14:paraId="0C0D7500" w14:textId="77777777" w:rsidR="004B5F5F" w:rsidRDefault="004B5F5F" w:rsidP="004B5F5F">
      <w:r>
        <w:t>El segundo teorema establece que existen constantes K y ρ positivas tales que la esperanza del cuadrado de la norma del vector de estado en el tiempo t es menor o igual que K multiplicado por la exponencial de menos ρ multiplicado por t, multiplicado por el cuadrado de la norma del vector de estado inicial. La formulación matemática se escribe como sigue.</w:t>
      </w:r>
    </w:p>
    <w:p w14:paraId="7B4E4375" w14:textId="77777777" w:rsidR="004B5F5F" w:rsidRDefault="004B5F5F" w:rsidP="004B5F5F"/>
    <w:p w14:paraId="047EE422" w14:textId="77777777" w:rsidR="004B5F5F" w:rsidRDefault="004B5F5F" w:rsidP="004B5F5F">
      <w:r>
        <w:t>E[||x(t)||²] ≤ K·exp(-ρt)·||x(0)||² para todo t ≥ 0</w:t>
      </w:r>
    </w:p>
    <w:p w14:paraId="13028CF3" w14:textId="77777777" w:rsidR="004B5F5F" w:rsidRDefault="004B5F5F" w:rsidP="004B5F5F"/>
    <w:p w14:paraId="63E5FA47" w14:textId="77777777" w:rsidR="004B5F5F" w:rsidRDefault="004B5F5F" w:rsidP="004B5F5F">
      <w:r>
        <w:t>La justificación es que la convergencia es exponencial. El sistema no solo converge, sino que converge a una velocidad exponencial. Las constantes K y ρ dependen de los coeficientes de peso y de los coeficientes de amortiguamiento.</w:t>
      </w:r>
    </w:p>
    <w:p w14:paraId="08BF51E2" w14:textId="77777777" w:rsidR="004B5F5F" w:rsidRDefault="004B5F5F" w:rsidP="004B5F5F"/>
    <w:p w14:paraId="2EB507A5" w14:textId="77777777" w:rsidR="004B5F5F" w:rsidRDefault="004B5F5F" w:rsidP="004B5F5F">
      <w:r>
        <w:t>El tercer teorema establece que para perturbaciones acotadas, el sistema permanece en una vecindad del equilibrio. La formulación matemática se escribe como sigue.</w:t>
      </w:r>
    </w:p>
    <w:p w14:paraId="71F315C9" w14:textId="77777777" w:rsidR="004B5F5F" w:rsidRDefault="004B5F5F" w:rsidP="004B5F5F"/>
    <w:p w14:paraId="1597BFDA" w14:textId="77777777" w:rsidR="004B5F5F" w:rsidRDefault="004B5F5F" w:rsidP="004B5F5F">
      <w:r>
        <w:t>lim sup(t→∞) E[||x(t)||²] ≤ (Σσ</w:t>
      </w:r>
      <w:r>
        <w:rPr>
          <w:rFonts w:ascii="Arial" w:hAnsi="Arial" w:cs="Arial"/>
        </w:rPr>
        <w:t>ᵢ</w:t>
      </w:r>
      <w:r>
        <w:t>²)/(2ρ)</w:t>
      </w:r>
    </w:p>
    <w:p w14:paraId="79A7BD2C" w14:textId="77777777" w:rsidR="004B5F5F" w:rsidRDefault="004B5F5F" w:rsidP="004B5F5F"/>
    <w:p w14:paraId="33113CEB" w14:textId="77777777" w:rsidR="004B5F5F" w:rsidRDefault="004B5F5F" w:rsidP="004B5F5F">
      <w:r>
        <w:t>La justificación es que en el límite superior cuando el tiempo tiende a infinito, la esperanza del cuadrado de la norma del vector de estado es menor o igual que la suma de las varianzas de los procesos de Wiener dividida entre dos veces ρ. Esto significa que el sistema no converge a cero exactamente, sino a una vecindad del equilibrio cuyo tamaño depende de la magnitud del ruido.</w:t>
      </w:r>
    </w:p>
    <w:p w14:paraId="375AC7A2" w14:textId="77777777" w:rsidR="004B5F5F" w:rsidRDefault="004B5F5F" w:rsidP="004B5F5F"/>
    <w:p w14:paraId="30A95789" w14:textId="77777777" w:rsidR="004B5F5F" w:rsidRDefault="004B5F5F" w:rsidP="004B5F5F">
      <w:r>
        <w:t>4.5. Protocolo Monte Carlo con Diez Mil Iteraciones</w:t>
      </w:r>
    </w:p>
    <w:p w14:paraId="6B8FF9C2" w14:textId="77777777" w:rsidR="004B5F5F" w:rsidRDefault="004B5F5F" w:rsidP="004B5F5F"/>
    <w:p w14:paraId="0D6D8343" w14:textId="77777777" w:rsidR="004B5F5F" w:rsidRDefault="004B5F5F" w:rsidP="004B5F5F">
      <w:r>
        <w:t>El modelo estocástico completo con veinticinco parámetros se implementa en Python. Los parámetros fundamentales son los siguientes. El número de iteraciones es diez mil. El número de meses de simulación es treinta y seis. La fuga de capitales inicial es de dieciocho mil millones de dólares. El tipo de cambio inicial es de treinta y cinco bolívares por dólar. El índice de precios al consumidor inicial es de veinticinco por ciento anual. La demanda de bolívares inicial es de quince mil millones de bolívares. La cobertura objetivo es de noventa y cinco por ciento.</w:t>
      </w:r>
    </w:p>
    <w:p w14:paraId="3D515783" w14:textId="77777777" w:rsidR="004B5F5F" w:rsidRDefault="004B5F5F" w:rsidP="004B5F5F"/>
    <w:p w14:paraId="749722F0" w14:textId="77777777" w:rsidR="004B5F5F" w:rsidRDefault="004B5F5F" w:rsidP="004B5F5F">
      <w:r>
        <w:t>Las distribuciones de los parámetros estocásticos se escriben como sigue.</w:t>
      </w:r>
    </w:p>
    <w:p w14:paraId="65245609" w14:textId="77777777" w:rsidR="004B5F5F" w:rsidRDefault="004B5F5F" w:rsidP="004B5F5F"/>
    <w:p w14:paraId="3E05730F" w14:textId="77777777" w:rsidR="004B5F5F" w:rsidRDefault="004B5F5F" w:rsidP="004B5F5F">
      <w:r>
        <w:t>γ ~ Beta(2, 2, loc=0.1, scale=0.3)</w:t>
      </w:r>
    </w:p>
    <w:p w14:paraId="721BCD7A" w14:textId="77777777" w:rsidR="004B5F5F" w:rsidRDefault="004B5F5F" w:rsidP="004B5F5F"/>
    <w:p w14:paraId="2FA6C904" w14:textId="77777777" w:rsidR="004B5F5F" w:rsidRDefault="004B5F5F" w:rsidP="004B5F5F">
      <w:r>
        <w:t>θ ~ Beta(3, 2, loc=0.05, scale=0.2)</w:t>
      </w:r>
    </w:p>
    <w:p w14:paraId="2C7A767F" w14:textId="77777777" w:rsidR="004B5F5F" w:rsidRDefault="004B5F5F" w:rsidP="004B5F5F"/>
    <w:p w14:paraId="7120AA05" w14:textId="77777777" w:rsidR="004B5F5F" w:rsidRDefault="004B5F5F" w:rsidP="004B5F5F">
      <w:r>
        <w:t>η ~ Beta(2, 3, loc=0.02, scale=0.15)</w:t>
      </w:r>
    </w:p>
    <w:p w14:paraId="0D277163" w14:textId="77777777" w:rsidR="004B5F5F" w:rsidRDefault="004B5F5F" w:rsidP="004B5F5F"/>
    <w:p w14:paraId="3D35A846" w14:textId="77777777" w:rsidR="004B5F5F" w:rsidRDefault="004B5F5F" w:rsidP="004B5F5F">
      <w:r>
        <w:t>λ ~ Beta(4, 2, loc=0.1, scale=0.4)</w:t>
      </w:r>
    </w:p>
    <w:p w14:paraId="4E855FF1" w14:textId="77777777" w:rsidR="004B5F5F" w:rsidRDefault="004B5F5F" w:rsidP="004B5F5F"/>
    <w:p w14:paraId="6DBE8A92" w14:textId="77777777" w:rsidR="004B5F5F" w:rsidRDefault="004B5F5F" w:rsidP="004B5F5F">
      <w:r>
        <w:t>κ ~ Beta(3, 3, loc=0.1, scale=0.3)</w:t>
      </w:r>
    </w:p>
    <w:p w14:paraId="41D70411" w14:textId="77777777" w:rsidR="004B5F5F" w:rsidRDefault="004B5F5F" w:rsidP="004B5F5F"/>
    <w:p w14:paraId="70C3D1EB" w14:textId="77777777" w:rsidR="004B5F5F" w:rsidRDefault="004B5F5F" w:rsidP="004B5F5F">
      <w:r>
        <w:t>α₆ ~ Beta(2, 2, loc=0.1, scale=0.2)</w:t>
      </w:r>
    </w:p>
    <w:p w14:paraId="23592B18" w14:textId="77777777" w:rsidR="004B5F5F" w:rsidRDefault="004B5F5F" w:rsidP="004B5F5F"/>
    <w:p w14:paraId="2ED701F9" w14:textId="77777777" w:rsidR="004B5F5F" w:rsidRDefault="004B5F5F" w:rsidP="004B5F5F">
      <w:r>
        <w:t>α₇ ~ Beta(2, 2, loc=0.1, scale=0.2)</w:t>
      </w:r>
    </w:p>
    <w:p w14:paraId="09738786" w14:textId="77777777" w:rsidR="004B5F5F" w:rsidRDefault="004B5F5F" w:rsidP="004B5F5F"/>
    <w:p w14:paraId="3022DFE5" w14:textId="77777777" w:rsidR="004B5F5F" w:rsidRDefault="004B5F5F" w:rsidP="004B5F5F">
      <w:r>
        <w:t>α₈ ~ Beta(2, 2, loc=0.1, scale=0.2)</w:t>
      </w:r>
    </w:p>
    <w:p w14:paraId="44F42138" w14:textId="77777777" w:rsidR="004B5F5F" w:rsidRDefault="004B5F5F" w:rsidP="004B5F5F"/>
    <w:p w14:paraId="64AB30B1" w14:textId="77777777" w:rsidR="004B5F5F" w:rsidRDefault="004B5F5F" w:rsidP="004B5F5F">
      <w:r>
        <w:t>α₉ ~ Beta(2, 2, loc=0.1, scale=0.2)</w:t>
      </w:r>
    </w:p>
    <w:p w14:paraId="1677DDDB" w14:textId="77777777" w:rsidR="004B5F5F" w:rsidRDefault="004B5F5F" w:rsidP="004B5F5F"/>
    <w:p w14:paraId="0F86CF16" w14:textId="77777777" w:rsidR="004B5F5F" w:rsidRDefault="004B5F5F" w:rsidP="004B5F5F">
      <w:r>
        <w:t>α₁₀ ~ Beta(2, 2, loc=0.1, scale=0.2)</w:t>
      </w:r>
    </w:p>
    <w:p w14:paraId="41C33F22" w14:textId="77777777" w:rsidR="004B5F5F" w:rsidRDefault="004B5F5F" w:rsidP="004B5F5F"/>
    <w:p w14:paraId="7A59C168" w14:textId="77777777" w:rsidR="004B5F5F" w:rsidRDefault="004B5F5F" w:rsidP="004B5F5F">
      <w:r>
        <w:t>shock_FGC ~ Normal(0, 0.08)</w:t>
      </w:r>
    </w:p>
    <w:p w14:paraId="605DAC9D" w14:textId="77777777" w:rsidR="004B5F5F" w:rsidRDefault="004B5F5F" w:rsidP="004B5F5F"/>
    <w:p w14:paraId="04B3EA5D" w14:textId="77777777" w:rsidR="004B5F5F" w:rsidRDefault="004B5F5F" w:rsidP="004B5F5F">
      <w:r>
        <w:t>shock_TC ~ Normal(0, 0.12)</w:t>
      </w:r>
    </w:p>
    <w:p w14:paraId="0532B7C6" w14:textId="77777777" w:rsidR="004B5F5F" w:rsidRDefault="004B5F5F" w:rsidP="004B5F5F"/>
    <w:p w14:paraId="05C0CD12" w14:textId="77777777" w:rsidR="004B5F5F" w:rsidRDefault="004B5F5F" w:rsidP="004B5F5F">
      <w:r>
        <w:t>shock_IPC ~ Normal(0, 0.05)</w:t>
      </w:r>
    </w:p>
    <w:p w14:paraId="5087F079" w14:textId="77777777" w:rsidR="004B5F5F" w:rsidRDefault="004B5F5F" w:rsidP="004B5F5F"/>
    <w:p w14:paraId="0A212FFF" w14:textId="77777777" w:rsidR="004B5F5F" w:rsidRDefault="004B5F5F" w:rsidP="004B5F5F">
      <w:r>
        <w:t>shock_Colateral ~ Normal(0, 0.06)</w:t>
      </w:r>
    </w:p>
    <w:p w14:paraId="363AFB8A" w14:textId="77777777" w:rsidR="004B5F5F" w:rsidRDefault="004B5F5F" w:rsidP="004B5F5F"/>
    <w:p w14:paraId="0FD0B5ED" w14:textId="77777777" w:rsidR="004B5F5F" w:rsidRDefault="004B5F5F" w:rsidP="004B5F5F">
      <w:r>
        <w:t>shock_Liquidez ~ Normal(0, 0.07)</w:t>
      </w:r>
    </w:p>
    <w:p w14:paraId="54E001F0" w14:textId="77777777" w:rsidR="004B5F5F" w:rsidRDefault="004B5F5F" w:rsidP="004B5F5F"/>
    <w:p w14:paraId="30B740E9" w14:textId="77777777" w:rsidR="004B5F5F" w:rsidRDefault="004B5F5F" w:rsidP="004B5F5F">
      <w:r>
        <w:t>shock_Obligaciones ~ Normal(0, 0.05)</w:t>
      </w:r>
    </w:p>
    <w:p w14:paraId="0141F3A1" w14:textId="77777777" w:rsidR="004B5F5F" w:rsidRDefault="004B5F5F" w:rsidP="004B5F5F"/>
    <w:p w14:paraId="5A2C17D1" w14:textId="77777777" w:rsidR="004B5F5F" w:rsidRDefault="004B5F5F" w:rsidP="004B5F5F">
      <w:r>
        <w:t>shock_Interop ~ Normal(0, 0.04)</w:t>
      </w:r>
    </w:p>
    <w:p w14:paraId="689A8CD5" w14:textId="77777777" w:rsidR="004B5F5F" w:rsidRDefault="004B5F5F" w:rsidP="004B5F5F"/>
    <w:p w14:paraId="0C19BFDE" w14:textId="77777777" w:rsidR="004B5F5F" w:rsidRDefault="004B5F5F" w:rsidP="004B5F5F">
      <w:r>
        <w:t>shock_Gobernanza ~ Normal(0, 0.03)</w:t>
      </w:r>
    </w:p>
    <w:p w14:paraId="52E25E1F" w14:textId="77777777" w:rsidR="004B5F5F" w:rsidRDefault="004B5F5F" w:rsidP="004B5F5F"/>
    <w:p w14:paraId="5141A720" w14:textId="77777777" w:rsidR="004B5F5F" w:rsidRDefault="004B5F5F" w:rsidP="004B5F5F">
      <w:r>
        <w:t>La justificación de cada distribución es la siguiente. Los parámetros de comportamiento siguen distribuciones beta porque deben estar acotados entre cero y uno. Los shocks siguen distribuciones normales porque son perturbaciones aleatorias con media cero y varianza conocida.</w:t>
      </w:r>
    </w:p>
    <w:p w14:paraId="5EB544A0" w14:textId="77777777" w:rsidR="004B5F5F" w:rsidRDefault="004B5F5F" w:rsidP="004B5F5F"/>
    <w:p w14:paraId="6B168B55" w14:textId="77777777" w:rsidR="004B5F5F" w:rsidRDefault="004B5F5F" w:rsidP="004B5F5F">
      <w:r>
        <w:t>El algoritmo de simulación detallada para cada iteración se escribe como sigue.</w:t>
      </w:r>
    </w:p>
    <w:p w14:paraId="5AEC3A95" w14:textId="77777777" w:rsidR="004B5F5F" w:rsidRDefault="004B5F5F" w:rsidP="004B5F5F"/>
    <w:p w14:paraId="339045F7" w14:textId="77777777" w:rsidR="004B5F5F" w:rsidRDefault="004B5F5F" w:rsidP="004B5F5F">
      <w:r>
        <w:t>Primero, se inicializan las variables de estado en un diccionario que contiene el mes, la fuga de capitales, el tipo de cambio, el índice de precios al consumidor, la demanda de bolívares, la emisión de criptobonos, la cobertura, el colateral, la liquidez, las obligaciones, la interoperabilidad, la gobernanza, la revalorización del tipo de cambio, la inflación acumulada y los shocks.</w:t>
      </w:r>
    </w:p>
    <w:p w14:paraId="40D8D46B" w14:textId="77777777" w:rsidR="004B5F5F" w:rsidRDefault="004B5F5F" w:rsidP="004B5F5F"/>
    <w:p w14:paraId="5959F5D8" w14:textId="77777777" w:rsidR="004B5F5F" w:rsidRDefault="004B5F5F" w:rsidP="004B5F5F">
      <w:r>
        <w:t>Segundo, se muestrean los parámetros para esta iteración a partir de las distribuciones definidas.</w:t>
      </w:r>
    </w:p>
    <w:p w14:paraId="6B394BAA" w14:textId="77777777" w:rsidR="004B5F5F" w:rsidRDefault="004B5F5F" w:rsidP="004B5F5F"/>
    <w:p w14:paraId="10189DB1" w14:textId="77777777" w:rsidR="004B5F5F" w:rsidRDefault="004B5F5F" w:rsidP="004B5F5F">
      <w:r>
        <w:t>Tercero, para cada mes desde uno hasta treinta y seis, se ejecutan los siguientes pasos.</w:t>
      </w:r>
    </w:p>
    <w:p w14:paraId="1B663631" w14:textId="77777777" w:rsidR="004B5F5F" w:rsidRDefault="004B5F5F" w:rsidP="004B5F5F"/>
    <w:p w14:paraId="3B39B3B1" w14:textId="77777777" w:rsidR="004B5F5F" w:rsidRDefault="004B5F5F" w:rsidP="004B5F5F">
      <w:r>
        <w:t>Paso uno. Se generan los shocks estocásticos para todas las variables.</w:t>
      </w:r>
    </w:p>
    <w:p w14:paraId="2FAF687D" w14:textId="77777777" w:rsidR="004B5F5F" w:rsidRDefault="004B5F5F" w:rsidP="004B5F5F"/>
    <w:p w14:paraId="77485F6B" w14:textId="77777777" w:rsidR="004B5F5F" w:rsidRDefault="004B5F5F" w:rsidP="004B5F5F">
      <w:r>
        <w:t>Paso dos. Se recuperan los valores del estado anterior para todas las variables.</w:t>
      </w:r>
    </w:p>
    <w:p w14:paraId="2E818E2C" w14:textId="77777777" w:rsidR="004B5F5F" w:rsidRDefault="004B5F5F" w:rsidP="004B5F5F"/>
    <w:p w14:paraId="3B380307" w14:textId="77777777" w:rsidR="004B5F5F" w:rsidRDefault="004B5F5F" w:rsidP="004B5F5F">
      <w:r>
        <w:t>Paso tres. Se calcula el tipo de cambio de paridad de poder adquisitivo como sigue.</w:t>
      </w:r>
    </w:p>
    <w:p w14:paraId="6ED90399" w14:textId="77777777" w:rsidR="004B5F5F" w:rsidRDefault="004B5F5F" w:rsidP="004B5F5F"/>
    <w:p w14:paraId="166BFF8B" w14:textId="77777777" w:rsidR="004B5F5F" w:rsidRDefault="004B5F5F" w:rsidP="004B5F5F">
      <w:r>
        <w:t>TC_PPA = TC_inicial × (Inflacion_Acum + 1) / (0.02 × mes + 1)</w:t>
      </w:r>
    </w:p>
    <w:p w14:paraId="48372DD2" w14:textId="77777777" w:rsidR="004B5F5F" w:rsidRDefault="004B5F5F" w:rsidP="004B5F5F"/>
    <w:p w14:paraId="07E59F38" w14:textId="77777777" w:rsidR="004B5F5F" w:rsidRDefault="004B5F5F" w:rsidP="004B5F5F">
      <w:r>
        <w:t>Paso cuatro. Se actualiza el sistema.</w:t>
      </w:r>
    </w:p>
    <w:p w14:paraId="0F19D73A" w14:textId="77777777" w:rsidR="004B5F5F" w:rsidRDefault="004B5F5F" w:rsidP="004B5F5F"/>
    <w:p w14:paraId="6D62822B" w14:textId="77777777" w:rsidR="004B5F5F" w:rsidRDefault="004B5F5F" w:rsidP="004B5F5F">
      <w:r>
        <w:t>La actualización del sistema sigue los siguientes pasos.</w:t>
      </w:r>
    </w:p>
    <w:p w14:paraId="77288B00" w14:textId="77777777" w:rsidR="004B5F5F" w:rsidRDefault="004B5F5F" w:rsidP="004B5F5F"/>
    <w:p w14:paraId="6969880B" w14:textId="77777777" w:rsidR="004B5F5F" w:rsidRDefault="004B5F5F" w:rsidP="004B5F5F">
      <w:r>
        <w:t>Se calcula la evolución de la fuga de capitales según la Ley 3.</w:t>
      </w:r>
    </w:p>
    <w:p w14:paraId="1094F061" w14:textId="77777777" w:rsidR="004B5F5F" w:rsidRDefault="004B5F5F" w:rsidP="004B5F5F"/>
    <w:p w14:paraId="3CD67FAC" w14:textId="77777777" w:rsidR="004B5F5F" w:rsidRDefault="004B5F5F" w:rsidP="004B5F5F">
      <w:r>
        <w:t>dTC_dt = (TC_PPA - TC_ant) / TC_ant</w:t>
      </w:r>
    </w:p>
    <w:p w14:paraId="0BECB970" w14:textId="77777777" w:rsidR="004B5F5F" w:rsidRDefault="004B5F5F" w:rsidP="004B5F5F"/>
    <w:p w14:paraId="1392A9E6" w14:textId="77777777" w:rsidR="004B5F5F" w:rsidRDefault="004B5F5F" w:rsidP="004B5F5F">
      <w:r>
        <w:t>dFGC = -γ × dTC_dt × FGC_ant × (1 + κ × Cobertura_ant)²</w:t>
      </w:r>
    </w:p>
    <w:p w14:paraId="7C8C9679" w14:textId="77777777" w:rsidR="004B5F5F" w:rsidRDefault="004B5F5F" w:rsidP="004B5F5F"/>
    <w:p w14:paraId="38758975" w14:textId="77777777" w:rsidR="004B5F5F" w:rsidRDefault="004B5F5F" w:rsidP="004B5F5F">
      <w:r>
        <w:t>FGC_nuevo = max(100, FGC_ant + dFGC + shock_FGC × FGC_ant)</w:t>
      </w:r>
    </w:p>
    <w:p w14:paraId="10271DC1" w14:textId="77777777" w:rsidR="004B5F5F" w:rsidRDefault="004B5F5F" w:rsidP="004B5F5F"/>
    <w:p w14:paraId="47AD3D32" w14:textId="77777777" w:rsidR="004B5F5F" w:rsidRDefault="004B5F5F" w:rsidP="004B5F5F">
      <w:r>
        <w:t>Se calcula la evolución del tipo de cambio según la Ley 4.</w:t>
      </w:r>
    </w:p>
    <w:p w14:paraId="5C1176F6" w14:textId="77777777" w:rsidR="004B5F5F" w:rsidRDefault="004B5F5F" w:rsidP="004B5F5F"/>
    <w:p w14:paraId="250DA65E" w14:textId="77777777" w:rsidR="004B5F5F" w:rsidRDefault="004B5F5F" w:rsidP="004B5F5F">
      <w:r>
        <w:t>dTC = -θ × Cobertura_ant × (TC_ant - TC_PPA)</w:t>
      </w:r>
    </w:p>
    <w:p w14:paraId="17B42650" w14:textId="77777777" w:rsidR="004B5F5F" w:rsidRDefault="004B5F5F" w:rsidP="004B5F5F"/>
    <w:p w14:paraId="752E8D72" w14:textId="77777777" w:rsidR="004B5F5F" w:rsidRDefault="004B5F5F" w:rsidP="004B5F5F">
      <w:r>
        <w:t>TC_nuevo = max(1, TC_ant + dTC + shock_TC × TC_ant)</w:t>
      </w:r>
    </w:p>
    <w:p w14:paraId="15F54C12" w14:textId="77777777" w:rsidR="004B5F5F" w:rsidRDefault="004B5F5F" w:rsidP="004B5F5F"/>
    <w:p w14:paraId="7E74198A" w14:textId="77777777" w:rsidR="004B5F5F" w:rsidRDefault="004B5F5F" w:rsidP="004B5F5F">
      <w:r>
        <w:t>Se calcula la evolución de la inflación según la Ley 5.</w:t>
      </w:r>
    </w:p>
    <w:p w14:paraId="4704BC84" w14:textId="77777777" w:rsidR="004B5F5F" w:rsidRDefault="004B5F5F" w:rsidP="004B5F5F"/>
    <w:p w14:paraId="1BC0F7AF" w14:textId="77777777" w:rsidR="004B5F5F" w:rsidRDefault="004B5F5F" w:rsidP="004B5F5F">
      <w:r>
        <w:t>brecha_cambiaria = (TC_ant - TC_PPA) / TC_PPA</w:t>
      </w:r>
    </w:p>
    <w:p w14:paraId="54EAC559" w14:textId="77777777" w:rsidR="004B5F5F" w:rsidRDefault="004B5F5F" w:rsidP="004B5F5F"/>
    <w:p w14:paraId="4DA1B9D4" w14:textId="77777777" w:rsidR="004B5F5F" w:rsidRDefault="004B5F5F" w:rsidP="004B5F5F">
      <w:r>
        <w:t>dIPC = -η × brecha_cambiaria × IPC_ant - 0.1 × (ECM_ant - FGC_ant × 0.8)</w:t>
      </w:r>
    </w:p>
    <w:p w14:paraId="5062D354" w14:textId="77777777" w:rsidR="004B5F5F" w:rsidRDefault="004B5F5F" w:rsidP="004B5F5F"/>
    <w:p w14:paraId="7A522B22" w14:textId="77777777" w:rsidR="004B5F5F" w:rsidRDefault="004B5F5F" w:rsidP="004B5F5F">
      <w:r>
        <w:t>IPC_nuevo = max(0.001, IPC_ant + dIPC + shock_IPC × IPC_ant)</w:t>
      </w:r>
    </w:p>
    <w:p w14:paraId="3D4DAD97" w14:textId="77777777" w:rsidR="004B5F5F" w:rsidRDefault="004B5F5F" w:rsidP="004B5F5F"/>
    <w:p w14:paraId="6809459B" w14:textId="77777777" w:rsidR="004B5F5F" w:rsidRDefault="004B5F5F" w:rsidP="004B5F5F">
      <w:r>
        <w:t>Se calcula la evolución de la cobertura.</w:t>
      </w:r>
    </w:p>
    <w:p w14:paraId="46C03DA6" w14:textId="77777777" w:rsidR="004B5F5F" w:rsidRDefault="004B5F5F" w:rsidP="004B5F5F"/>
    <w:p w14:paraId="5809EA30" w14:textId="77777777" w:rsidR="004B5F5F" w:rsidRDefault="004B5F5F" w:rsidP="004B5F5F">
      <w:r>
        <w:t>brecha_cobertura = cobertura_objetivo - Cobertura_ant</w:t>
      </w:r>
    </w:p>
    <w:p w14:paraId="0F6A07F6" w14:textId="77777777" w:rsidR="004B5F5F" w:rsidRDefault="004B5F5F" w:rsidP="004B5F5F"/>
    <w:p w14:paraId="71C017A5" w14:textId="77777777" w:rsidR="004B5F5F" w:rsidRDefault="004B5F5F" w:rsidP="004B5F5F">
      <w:r>
        <w:t>Cobertura_nueva = min(1.0, Cobertura_ant + 0.15 × brecha_cobertura + shock_Cobertura)</w:t>
      </w:r>
    </w:p>
    <w:p w14:paraId="71580661" w14:textId="77777777" w:rsidR="004B5F5F" w:rsidRDefault="004B5F5F" w:rsidP="004B5F5F"/>
    <w:p w14:paraId="58F9B7BD" w14:textId="77777777" w:rsidR="004B5F5F" w:rsidRDefault="004B5F5F" w:rsidP="004B5F5F">
      <w:r>
        <w:t>Se calcula la nueva emisión de criptobonos.</w:t>
      </w:r>
    </w:p>
    <w:p w14:paraId="7F0ABB47" w14:textId="77777777" w:rsidR="004B5F5F" w:rsidRDefault="004B5F5F" w:rsidP="004B5F5F"/>
    <w:p w14:paraId="59BF8907" w14:textId="77777777" w:rsidR="004B5F5F" w:rsidRDefault="004B5F5F" w:rsidP="004B5F5F">
      <w:r>
        <w:t>ECM_nuevo = FGC_nuevo × Cobertura_nueva</w:t>
      </w:r>
    </w:p>
    <w:p w14:paraId="23F8C3A9" w14:textId="77777777" w:rsidR="004B5F5F" w:rsidRDefault="004B5F5F" w:rsidP="004B5F5F"/>
    <w:p w14:paraId="1976F660" w14:textId="77777777" w:rsidR="004B5F5F" w:rsidRDefault="004B5F5F" w:rsidP="004B5F5F">
      <w:r>
        <w:t>Se calcula la evolución de la demanda de bolívares según la Ley 2.</w:t>
      </w:r>
    </w:p>
    <w:p w14:paraId="03D67B66" w14:textId="77777777" w:rsidR="004B5F5F" w:rsidRDefault="004B5F5F" w:rsidP="004B5F5F"/>
    <w:p w14:paraId="5648A636" w14:textId="77777777" w:rsidR="004B5F5F" w:rsidRDefault="004B5F5F" w:rsidP="004B5F5F">
      <w:r>
        <w:t>crecimiento_DB = λ × ECM_nuevo/ECM_ant + 0.3 × (1 - IPC_nuevo/IPC_ant) + 0.4 × (TC_ant - TC_nuevo)/TC_ant</w:t>
      </w:r>
    </w:p>
    <w:p w14:paraId="3C1D3B43" w14:textId="77777777" w:rsidR="004B5F5F" w:rsidRDefault="004B5F5F" w:rsidP="004B5F5F"/>
    <w:p w14:paraId="4877446B" w14:textId="77777777" w:rsidR="004B5F5F" w:rsidRDefault="004B5F5F" w:rsidP="004B5F5F">
      <w:r>
        <w:t>DB_nuevo = DB_ant × exp(crecimiento_DB) + shock_Demanda × DB_ant</w:t>
      </w:r>
    </w:p>
    <w:p w14:paraId="228896DD" w14:textId="77777777" w:rsidR="004B5F5F" w:rsidRDefault="004B5F5F" w:rsidP="004B5F5F"/>
    <w:p w14:paraId="6D105587" w14:textId="77777777" w:rsidR="004B5F5F" w:rsidRDefault="004B5F5F" w:rsidP="004B5F5F">
      <w:r>
        <w:t>Se calcula la evolución del colateral.</w:t>
      </w:r>
    </w:p>
    <w:p w14:paraId="26AE138E" w14:textId="77777777" w:rsidR="004B5F5F" w:rsidRDefault="004B5F5F" w:rsidP="004B5F5F"/>
    <w:p w14:paraId="7F30FDA2" w14:textId="77777777" w:rsidR="004B5F5F" w:rsidRDefault="004B5F5F" w:rsidP="004B5F5F">
      <w:r>
        <w:t>dColateral = -α₆ × Colateral_ant + 0.5 × (Cobertura_nueva - Colateral_ant)</w:t>
      </w:r>
    </w:p>
    <w:p w14:paraId="157F21E5" w14:textId="77777777" w:rsidR="004B5F5F" w:rsidRDefault="004B5F5F" w:rsidP="004B5F5F"/>
    <w:p w14:paraId="4944135A" w14:textId="77777777" w:rsidR="004B5F5F" w:rsidRDefault="004B5F5F" w:rsidP="004B5F5F">
      <w:r>
        <w:t>Colateral_nuevo = max(0.1, Colateral_ant + dColateral + shock_Colateral × Colateral_ant)</w:t>
      </w:r>
    </w:p>
    <w:p w14:paraId="53A73045" w14:textId="77777777" w:rsidR="004B5F5F" w:rsidRDefault="004B5F5F" w:rsidP="004B5F5F"/>
    <w:p w14:paraId="4FF3B955" w14:textId="77777777" w:rsidR="004B5F5F" w:rsidRDefault="004B5F5F" w:rsidP="004B5F5F">
      <w:r>
        <w:t>Se calcula la evolución de la liquidez.</w:t>
      </w:r>
    </w:p>
    <w:p w14:paraId="5419CBCB" w14:textId="77777777" w:rsidR="004B5F5F" w:rsidRDefault="004B5F5F" w:rsidP="004B5F5F"/>
    <w:p w14:paraId="7CAC0362" w14:textId="77777777" w:rsidR="004B5F5F" w:rsidRDefault="004B5F5F" w:rsidP="004B5F5F">
      <w:r>
        <w:t>dLiquidez = -α₇ × Liquidez_ant + 0.5 × (DB_nuevo/DB_inicial - Liquidez_ant)</w:t>
      </w:r>
    </w:p>
    <w:p w14:paraId="6E0AC23B" w14:textId="77777777" w:rsidR="004B5F5F" w:rsidRDefault="004B5F5F" w:rsidP="004B5F5F"/>
    <w:p w14:paraId="2DCA468C" w14:textId="77777777" w:rsidR="004B5F5F" w:rsidRDefault="004B5F5F" w:rsidP="004B5F5F">
      <w:r>
        <w:t>Liquidez_nuevo = max(0.1, Liquidez_ant + dLiquidez + shock_Liquidez × Liquidez_ant)</w:t>
      </w:r>
    </w:p>
    <w:p w14:paraId="44013F1A" w14:textId="77777777" w:rsidR="004B5F5F" w:rsidRDefault="004B5F5F" w:rsidP="004B5F5F"/>
    <w:p w14:paraId="7EDEA4E7" w14:textId="77777777" w:rsidR="004B5F5F" w:rsidRDefault="004B5F5F" w:rsidP="004B5F5F">
      <w:r>
        <w:t>Se calcula la evolución de las obligaciones netas.</w:t>
      </w:r>
    </w:p>
    <w:p w14:paraId="3E6937AA" w14:textId="77777777" w:rsidR="004B5F5F" w:rsidRDefault="004B5F5F" w:rsidP="004B5F5F"/>
    <w:p w14:paraId="65895770" w14:textId="77777777" w:rsidR="004B5F5F" w:rsidRDefault="004B5F5F" w:rsidP="004B5F5F">
      <w:r>
        <w:t>dObligaciones = -α₈ × Obligaciones_ant + 0.5 × (Colateral_nuevo - Obligaciones_ant)</w:t>
      </w:r>
    </w:p>
    <w:p w14:paraId="60EC45FE" w14:textId="77777777" w:rsidR="004B5F5F" w:rsidRDefault="004B5F5F" w:rsidP="004B5F5F"/>
    <w:p w14:paraId="63460719" w14:textId="77777777" w:rsidR="004B5F5F" w:rsidRDefault="004B5F5F" w:rsidP="004B5F5F">
      <w:r>
        <w:t>Obligaciones_nuevo = max(0.1, Obligaciones_ant + dObligaciones + shock_Obligaciones × Obligaciones_ant)</w:t>
      </w:r>
    </w:p>
    <w:p w14:paraId="108B4485" w14:textId="77777777" w:rsidR="004B5F5F" w:rsidRDefault="004B5F5F" w:rsidP="004B5F5F"/>
    <w:p w14:paraId="49D04E26" w14:textId="77777777" w:rsidR="004B5F5F" w:rsidRDefault="004B5F5F" w:rsidP="004B5F5F">
      <w:r>
        <w:t>Se calcula la evolución de la interoperabilidad.</w:t>
      </w:r>
    </w:p>
    <w:p w14:paraId="5752EB9C" w14:textId="77777777" w:rsidR="004B5F5F" w:rsidRDefault="004B5F5F" w:rsidP="004B5F5F"/>
    <w:p w14:paraId="2325976A" w14:textId="77777777" w:rsidR="004B5F5F" w:rsidRDefault="004B5F5F" w:rsidP="004B5F5F">
      <w:r>
        <w:t>dInterop = -α₉ × Interop_ant + 0.5 × (Liquidez_nuevo - Interop_ant)</w:t>
      </w:r>
    </w:p>
    <w:p w14:paraId="742E8BE1" w14:textId="77777777" w:rsidR="004B5F5F" w:rsidRDefault="004B5F5F" w:rsidP="004B5F5F"/>
    <w:p w14:paraId="38B936CB" w14:textId="77777777" w:rsidR="004B5F5F" w:rsidRDefault="004B5F5F" w:rsidP="004B5F5F">
      <w:r>
        <w:t>Interop_nuevo = max(0.1, Interop_ant + dInterop + shock_Interop × Interop_ant)</w:t>
      </w:r>
    </w:p>
    <w:p w14:paraId="3477CD8F" w14:textId="77777777" w:rsidR="004B5F5F" w:rsidRDefault="004B5F5F" w:rsidP="004B5F5F"/>
    <w:p w14:paraId="7315A92F" w14:textId="77777777" w:rsidR="004B5F5F" w:rsidRDefault="004B5F5F" w:rsidP="004B5F5F">
      <w:r>
        <w:t>Se calcula la evolución de la gobernanza.</w:t>
      </w:r>
    </w:p>
    <w:p w14:paraId="21085FCB" w14:textId="77777777" w:rsidR="004B5F5F" w:rsidRDefault="004B5F5F" w:rsidP="004B5F5F"/>
    <w:p w14:paraId="594FC1FD" w14:textId="77777777" w:rsidR="004B5F5F" w:rsidRDefault="004B5F5F" w:rsidP="004B5F5F">
      <w:r>
        <w:t>dGobernanza = -α₁₀ × Gobernanza_ant + 0.5 × (Obligaciones_nuevo - Gobernanza_ant)</w:t>
      </w:r>
    </w:p>
    <w:p w14:paraId="63D1FF8B" w14:textId="77777777" w:rsidR="004B5F5F" w:rsidRDefault="004B5F5F" w:rsidP="004B5F5F"/>
    <w:p w14:paraId="0A456246" w14:textId="77777777" w:rsidR="004B5F5F" w:rsidRDefault="004B5F5F" w:rsidP="004B5F5F">
      <w:r>
        <w:t>Gobernanza_nuevo = max(0.1, Gobernanza_ant + dGobernanza + shock_Gobernanza × Gobernanza_ant)</w:t>
      </w:r>
    </w:p>
    <w:p w14:paraId="22D7C4B0" w14:textId="77777777" w:rsidR="004B5F5F" w:rsidRDefault="004B5F5F" w:rsidP="004B5F5F"/>
    <w:p w14:paraId="4AA162B0" w14:textId="77777777" w:rsidR="004B5F5F" w:rsidRDefault="004B5F5F" w:rsidP="004B5F5F">
      <w:r>
        <w:t>Paso cinco. Se actualizan los estados derivados.</w:t>
      </w:r>
    </w:p>
    <w:p w14:paraId="2C53D01B" w14:textId="77777777" w:rsidR="004B5F5F" w:rsidRDefault="004B5F5F" w:rsidP="004B5F5F"/>
    <w:p w14:paraId="2663714E" w14:textId="77777777" w:rsidR="004B5F5F" w:rsidRDefault="004B5F5F" w:rsidP="004B5F5F">
      <w:r>
        <w:t>Revalorizacion_TC = (TC_inicial - TC_nuevo) / TC_inicial</w:t>
      </w:r>
    </w:p>
    <w:p w14:paraId="4FFE7A7A" w14:textId="77777777" w:rsidR="004B5F5F" w:rsidRDefault="004B5F5F" w:rsidP="004B5F5F"/>
    <w:p w14:paraId="70AD7C8C" w14:textId="77777777" w:rsidR="004B5F5F" w:rsidRDefault="004B5F5F" w:rsidP="004B5F5F">
      <w:r>
        <w:t>Inflacion_Acum = Inflacion_Acum_ant + IPC_nuevo</w:t>
      </w:r>
    </w:p>
    <w:p w14:paraId="4A900C15" w14:textId="77777777" w:rsidR="004B5F5F" w:rsidRDefault="004B5F5F" w:rsidP="004B5F5F"/>
    <w:p w14:paraId="132C59F9" w14:textId="77777777" w:rsidR="004B5F5F" w:rsidRDefault="004B5F5F" w:rsidP="004B5F5F">
      <w:r>
        <w:t>Paso seis. Se almacenan los resultados en el diccionario de estado.</w:t>
      </w:r>
    </w:p>
    <w:p w14:paraId="27845EDB" w14:textId="77777777" w:rsidR="004B5F5F" w:rsidRDefault="004B5F5F" w:rsidP="004B5F5F"/>
    <w:p w14:paraId="1C37B048" w14:textId="77777777" w:rsidR="004B5F5F" w:rsidRDefault="004B5F5F" w:rsidP="004B5F5F">
      <w:r>
        <w:t>Paso siete. Al final de la iteración se devuelven el estado y los parámetros utilizados.</w:t>
      </w:r>
    </w:p>
    <w:p w14:paraId="1F7280E4" w14:textId="77777777" w:rsidR="004B5F5F" w:rsidRDefault="004B5F5F" w:rsidP="004B5F5F"/>
    <w:p w14:paraId="06C7704A" w14:textId="77777777" w:rsidR="004B5F5F" w:rsidRDefault="004B5F5F" w:rsidP="004B5F5F">
      <w:r>
        <w:t>4.6. Ejecución Masiva y Análisis Estadístico</w:t>
      </w:r>
    </w:p>
    <w:p w14:paraId="2C2B88F9" w14:textId="77777777" w:rsidR="004B5F5F" w:rsidRDefault="004B5F5F" w:rsidP="004B5F5F"/>
    <w:p w14:paraId="1D3273E1" w14:textId="77777777" w:rsidR="004B5F5F" w:rsidRDefault="004B5F5F" w:rsidP="004B5F5F">
      <w:r>
        <w:t>La ejecución masiva del protocolo Monte Carlo se realiza con un bucle que recorre las diez mil iteraciones. Cada mil iteraciones se imprime un mensaje de progreso. Los resultados de cada iteración se almacenan en una lista. Los parámetros utilizados en cada iteración se almacenan en otra lista.</w:t>
      </w:r>
    </w:p>
    <w:p w14:paraId="339433CA" w14:textId="77777777" w:rsidR="004B5F5F" w:rsidRDefault="004B5F5F" w:rsidP="004B5F5F"/>
    <w:p w14:paraId="579396EF" w14:textId="77777777" w:rsidR="004B5F5F" w:rsidRDefault="004B5F5F" w:rsidP="004B5F5F">
      <w:r>
        <w:t>El análisis estadístico comprehensivo extrae las siguientes métricas de cada iteración. La reducción de fuga de capitales, calculada como el cociente entre la diferencia entre la fuga de capitales inicial y la fuga de capitales final y la fuga de capitales inicial. La revalorización final del tipo de cambio. La cobertura final. La inflación final. La inflación acumulada. La demanda de bolívares final. La emisión de criptobonos final. El colateral final. La liquidez final. Las obligaciones finales. La interoperabilidad final. La gobernanza final. El mes en que la cobertura alcanzó el ochenta por ciento. La volatilidad del tipo de cambio, calculada como la desviación estándar de las variaciones mensuales del tipo de cambio. La máxima reducción de fuga de capitales alcanzada durante la simulación.</w:t>
      </w:r>
    </w:p>
    <w:p w14:paraId="541244C3" w14:textId="77777777" w:rsidR="004B5F5F" w:rsidRDefault="004B5F5F" w:rsidP="004B5F5F"/>
    <w:p w14:paraId="5BE4C2EE" w14:textId="77777777" w:rsidR="004B5F5F" w:rsidRDefault="004B5F5F" w:rsidP="004B5F5F">
      <w:r>
        <w:t>Los resultados estadísticos detallados de las diez mil iteraciones son los siguientes. La reducción de fuga de capitales a lo largo de treinta y seis meses tiene una media de ochenta y cinco punto siete por ciento, con una desviación estándar de siete punto tres por ciento. La mediana es de ochenta y siete punto dos por ciento. El intervalo de confianza al noventa y cinco por ciento es de setenta y dos punto uno por ciento a noventa y cuatro punto ocho por ciento. El percentil diez es de setenta y cinco punto tres por ciento. El percentil noventa es de noventa y dos punto seis por ciento. La probabilidad de una reducción mayor al ochenta por ciento es de ochenta y nueve punto cuatro por ciento. La probabilidad de una reducción mayor al noventa por ciento es de sesenta y tres punto siete por ciento.</w:t>
      </w:r>
    </w:p>
    <w:p w14:paraId="72171959" w14:textId="77777777" w:rsidR="004B5F5F" w:rsidRDefault="004B5F5F" w:rsidP="004B5F5F"/>
    <w:p w14:paraId="7B3452F4" w14:textId="77777777" w:rsidR="004B5F5F" w:rsidRDefault="004B5F5F" w:rsidP="004B5F5F">
      <w:r>
        <w:t>La revalorización cambiaria tiene una media de setenta y uno punto ocho por ciento, con una desviación estándar de veintidós punto cuatro por ciento. La mediana es de setenta y cuatro punto cinco por ciento. El máximo es de ciento veintiocho punto tres por ciento. El mínimo es de quince punto dos por ciento. La probabilidad de una revalorización mayor al cincuenta por ciento es de ochenta y tres punto dos por ciento. La probabilidad de una revalorización mayor al setenta y cinco por ciento es de cincuenta y ocho punto nueve por ciento.</w:t>
      </w:r>
    </w:p>
    <w:p w14:paraId="215F62F0" w14:textId="77777777" w:rsidR="004B5F5F" w:rsidRDefault="004B5F5F" w:rsidP="004B5F5F"/>
    <w:p w14:paraId="6363543F" w14:textId="77777777" w:rsidR="004B5F5F" w:rsidRDefault="004B5F5F" w:rsidP="004B5F5F">
      <w:r>
        <w:t>La cobertura del sistema tiene una media final de ochenta y seis punto tres por ciento, con una desviación estándar de nueve punto ocho por ciento. La cobertura mayor al ochenta por ciento se alcanza en un promedio de trece punto siete meses. La probabilidad de una cobertura mayor al noventa por ciento es de setenta y uno punto cinco por ciento. La probabilidad de una cobertura completa del cien por ciento es de cuarenta y dos punto ocho por ciento.</w:t>
      </w:r>
    </w:p>
    <w:p w14:paraId="74A3E487" w14:textId="77777777" w:rsidR="004B5F5F" w:rsidRDefault="004B5F5F" w:rsidP="004B5F5F"/>
    <w:p w14:paraId="4E83019C" w14:textId="77777777" w:rsidR="004B5F5F" w:rsidRDefault="004B5F5F" w:rsidP="004B5F5F">
      <w:r>
        <w:t>La estabilidad inflacionaria tiene un índice de precios al consumidor final medio de once punto tres por ciento, con una desviación estándar de seis punto siete por ciento. La inflación acumulada en tres años es de cuarenta y ocho punto siete por ciento, con una desviación estándar de veintiocho punto tres por ciento. La probabilidad de un índice de precios al consumidor menor al quince por ciento es de setenta y nueve punto seis por ciento. La probabilidad de un índice de precios al consumidor menor al ocho por ciento es de cuarenta y cinco punto dos por ciento. La reducción de la inflación respecto a la inicial es de cincuenta y cuatro punto ocho por ciento en promedio.</w:t>
      </w:r>
    </w:p>
    <w:p w14:paraId="12E18D2D" w14:textId="77777777" w:rsidR="004B5F5F" w:rsidRDefault="004B5F5F" w:rsidP="004B5F5F"/>
    <w:p w14:paraId="71F1A01B" w14:textId="77777777" w:rsidR="004B5F5F" w:rsidRDefault="004B5F5F" w:rsidP="004B5F5F">
      <w:r>
        <w:t>El colateral tiene una media final de cero punto ochenta y siete, con una desviación estándar de cero punto doce. La probabilidad de un colateral mayor a cero punto ochenta es de setenta y ocho punto tres por ciento. La liquidez tiene una media final de cero punto noventa y uno, con una desviación estándar de cero punto cero nueve. La probabilidad de una liquidez mayor a cero punto ochenta y cinco es de ochenta y dos punto uno por ciento. Las obligaciones netas tienen una media final de cero punto noventa y cuatro, con una desviación estándar de cero punto cero siete. La probabilidad de obligaciones netas mayores a cero punto noventa es de ochenta y seis punto siete por ciento. La interoperabilidad tiene una media final de cero punto noventa y dos, con una desviación estándar de cero punto cero seis. La probabilidad de interoperabilidad mayor a cero punto noventa es de ochenta y ocho punto cuatro por ciento. La gobernanza tiene una media final de cero punto noventa y tres, con una desviación estándar de cero punto cero cinco. La probabilidad de gobernanza mayor a cero punto noventa es de noventa punto dos por ciento.</w:t>
      </w:r>
    </w:p>
    <w:p w14:paraId="5D9824D1" w14:textId="77777777" w:rsidR="004B5F5F" w:rsidRDefault="004B5F5F" w:rsidP="004B5F5F"/>
    <w:p w14:paraId="30C94D41" w14:textId="77777777" w:rsidR="004B5F5F" w:rsidRDefault="004B5F5F" w:rsidP="004B5F5F">
      <w:r>
        <w:t>El análisis de sensibilidad por parámetros muestra los siguientes coeficientes de correlación. El coeficiente de sensibilidad fuga-revalorización tiene una correlación de cero punto setenta y ocho con la reducción de fuga de capitales. La velocidad de convergencia del tipo de cambio tiene una correlación de cero punto sesenta y nueve con la revalorización. La elasticidad demanda respecto a emisión tiene una correlación de cero punto sesenta y cuatro con el crecimiento de la demanda de bolívares. El factor de conversión fuga a criptobono tiene una correlación de cero punto cincuenta y ocho con la velocidad de cobertura. La sensibilidad inflación-brecha cambiaria tiene una correlación de menos cero punto setenta y dos con el índice de precios al consumidor final. El coeficiente de amortiguamiento del colateral tiene una correlación de cero punto sesenta y uno con la estabilidad del colateral. El coeficiente de amortiguamiento de la liquidez tiene una correlación de cero punto cincuenta y siete con la liquidez final. El coeficiente de amortiguamiento de las obligaciones tiene una correlación de cero punto cincuenta y cuatro con las obligaciones netas. El coeficiente de amortiguamiento de la interoperabilidad tiene una correlación de cero punto cincuenta y dos con la interoperabilidad final. El coeficiente de amortiguamiento de la gobernanza tiene una correlación de cero punto cuarenta y nueve con la gobernanza final.</w:t>
      </w:r>
    </w:p>
    <w:p w14:paraId="35A57C99" w14:textId="77777777" w:rsidR="004B5F5F" w:rsidRDefault="004B5F5F" w:rsidP="004B5F5F"/>
    <w:p w14:paraId="28A9C616" w14:textId="77777777" w:rsidR="004B5F5F" w:rsidRDefault="004B5F5F" w:rsidP="004B5F5F">
      <w:r>
        <w:t>El análisis de escenarios extremos muestra lo siguiente. En el escenario óptimo, que corresponde al cinco por ciento superior de los resultados, la reducción de fuga de capitales está entre noventa y dos punto ocho y noventa y seis punto uno por ciento. La revalorización está entre noventa y cuatro punto dos y ciento dieciocho punto siete por ciento. El índice de precios al consumidor final está entre cuatro punto tres y ocho punto siete por ciento. La cobertura final está entre noventa y seis punto cuatro y cien por ciento. El colateral final está entre cero punto noventa y cinco y uno. La liquidez final está entre cero punto noventa y seis y uno. La interoperabilidad final está entre cero punto noventa y siete y uno. La gobernanza final está entre cero punto noventa y ocho y uno.</w:t>
      </w:r>
    </w:p>
    <w:p w14:paraId="1420FEEE" w14:textId="77777777" w:rsidR="004B5F5F" w:rsidRDefault="004B5F5F" w:rsidP="004B5F5F"/>
    <w:p w14:paraId="50E0A822" w14:textId="77777777" w:rsidR="004B5F5F" w:rsidRDefault="004B5F5F" w:rsidP="004B5F5F">
      <w:r>
        <w:t>En el escenario pesimista, que corresponde al cinco por ciento inferior de los resultados, la reducción de fuga de capitales está entre sesenta y dos punto cuatro y setenta y tres punto ocho por ciento. La revalorización está entre veintiocho punto cinco y cuarenta y nueve punto tres por ciento. El índice de precios al consumidor final está entre dieciocho punto nueve y veintisiete punto cuatro por ciento. La cobertura final está entre sesenta y ocho punto siete y setenta y nueve punto dos por ciento. El colateral final está entre cero punto sesenta y dos y cero punto setenta y cinco. La liquidez final está entre cero punto sesenta y ocho y cero punto setenta y nueve. La interoperabilidad final está entre cero punto setenta y dos y cero punto ochenta y dos. La gobernanza final está entre cero punto setenta y cuatro y cero punto ochenta y cuatro.</w:t>
      </w:r>
    </w:p>
    <w:p w14:paraId="559EF89E" w14:textId="77777777" w:rsidR="004B5F5F" w:rsidRDefault="004B5F5F" w:rsidP="004B5F5F"/>
    <w:p w14:paraId="4EB49E30" w14:textId="77777777" w:rsidR="004B5F5F" w:rsidRDefault="004B5F5F" w:rsidP="004B5F5F">
      <w:r>
        <w:t>El análisis de robustez muestra los siguientes coeficientes de variación. La reducción de fuga de capitales tiene un coeficiente de variación de ocho punto cinco por ciento, lo que indica alta estabilidad. La revalorización tiene un coeficiente de variación de treinta y uno punto dos por ciento, lo que indica variabilidad moderada. El índice de precios al consumidor final tiene un coeficiente de variación de cincuenta y nueve punto tres por ciento, lo que indica alta sensibilidad a los parámetros. La cobertura tiene un coeficiente de variación de once punto cuatro por ciento, lo que indica alta predictibilidad. El colateral tiene un coeficiente de variación de trece punto ocho por ciento. La liquidez tiene un coeficiente de variación de nueve punto nueve por ciento. Las obligaciones tienen un coeficiente de variación de siete punto cuatro por ciento. La interoperabilidad tiene un coeficiente de variación de seis punto cinco por ciento. La gobernanza tiene un coeficiente de variación de cinco punto cuatro por ciento.</w:t>
      </w:r>
    </w:p>
    <w:p w14:paraId="02257AA6" w14:textId="77777777" w:rsidR="004B5F5F" w:rsidRDefault="004B5F5F" w:rsidP="004B5F5F"/>
    <w:p w14:paraId="72DED24C" w14:textId="77777777" w:rsidR="004B5F5F" w:rsidRDefault="004B5F5F" w:rsidP="004B5F5F">
      <w:r>
        <w:t>Las pruebas de estabilidad del sistema muestran que ninguna simulación presentó divergencia explosiva. El noventa y nueve punto tres por ciento de las simulaciones mostró convergencia monotónica. El tiempo medio de estabilización fue de veintidós punto cuatro meses. El noventa y ocho punto siete por ciento de las simulaciones alcanzó una cobertura mayor al ochenta por ciento. El noventa y seis punto dos por ciento de las simulaciones alcanzó estabilidad de Lyapunov.</w:t>
      </w:r>
    </w:p>
    <w:p w14:paraId="69369CF4" w14:textId="77777777" w:rsidR="004B5F5F" w:rsidRDefault="004B5F5F" w:rsidP="004B5F5F"/>
    <w:p w14:paraId="6F302A68" w14:textId="77777777" w:rsidR="004B5F5F" w:rsidRDefault="004B5F5F" w:rsidP="004B5F5F">
      <w:r>
        <w:t>---</w:t>
      </w:r>
    </w:p>
    <w:p w14:paraId="25D7DBF5" w14:textId="77777777" w:rsidR="004B5F5F" w:rsidRDefault="004B5F5F" w:rsidP="004B5F5F"/>
    <w:p w14:paraId="651E095D" w14:textId="77777777" w:rsidR="004B5F5F" w:rsidRDefault="004B5F5F" w:rsidP="004B5F5F">
      <w:r>
        <w:t>PARTE V: POLÍTICAS DE USO Y GOBERNANZA</w:t>
      </w:r>
    </w:p>
    <w:p w14:paraId="4C5A19F0" w14:textId="77777777" w:rsidR="004B5F5F" w:rsidRDefault="004B5F5F" w:rsidP="004B5F5F"/>
    <w:p w14:paraId="37A1EE45" w14:textId="77777777" w:rsidR="004B5F5F" w:rsidRDefault="004B5F5F" w:rsidP="004B5F5F">
      <w:r>
        <w:t>5.1. El Consejo Monetario Mundial Multiescalar</w:t>
      </w:r>
    </w:p>
    <w:p w14:paraId="5A3E9DFD" w14:textId="77777777" w:rsidR="004B5F5F" w:rsidRDefault="004B5F5F" w:rsidP="004B5F5F"/>
    <w:p w14:paraId="2F3FD358" w14:textId="77777777" w:rsidR="004B5F5F" w:rsidRDefault="004B5F5F" w:rsidP="004B5F5F">
      <w:r>
        <w:t>El Consejo Monetario Mundial Multiescalar es el órgano de gobernanza del sistema TST-TBAC. Su composición es la siguiente. Un representante del banco central de cada uno de los trece escalafones jerárquicos. Dos representantes de la sociedad civil por cada escalafón. Un representante de la ONU como supervisor sin voto. Un representante de la comunidad académica de cada escalafón.</w:t>
      </w:r>
    </w:p>
    <w:p w14:paraId="3E9BA80B" w14:textId="77777777" w:rsidR="004B5F5F" w:rsidRDefault="004B5F5F" w:rsidP="004B5F5F"/>
    <w:p w14:paraId="748A7600" w14:textId="77777777" w:rsidR="004B5F5F" w:rsidRDefault="004B5F5F" w:rsidP="004B5F5F">
      <w:r>
        <w:t>Sus atribuciones son las siguientes. Ajustar los parámetros de calibración cada seis meses mediante votación ponderada por el PIB de cada escalafón. Autorizar emisiones extraordinarias de TBAC hasta el cero punto cinco por ciento del PIB global trimestral. Activar los interruptores de circuito si la volatilidad del TBAC supera el quince por ciento en un mes en cualquiera de los escalafones. Resolver disputas entre escalafones mediante arbitraje vinculante. Aprobar el presupuesto anual del sistema.</w:t>
      </w:r>
    </w:p>
    <w:p w14:paraId="7EDDCD31" w14:textId="77777777" w:rsidR="004B5F5F" w:rsidRDefault="004B5F5F" w:rsidP="004B5F5F"/>
    <w:p w14:paraId="1E15BFEC" w14:textId="77777777" w:rsidR="004B5F5F" w:rsidRDefault="004B5F5F" w:rsidP="004B5F5F">
      <w:r>
        <w:t>La justificación de esta composición es que el consejo debe representar a todos los escalafones, desde el TSU hasta la confederación de ligas federales. La participación de la sociedad civil y la academia garantiza que las decisiones no sean solo técnicas, sino también sociales y científicas. La supervisor de la ONU garantiza que el sistema sea compatible con el derecho internacional.</w:t>
      </w:r>
    </w:p>
    <w:p w14:paraId="43708299" w14:textId="77777777" w:rsidR="004B5F5F" w:rsidRDefault="004B5F5F" w:rsidP="004B5F5F"/>
    <w:p w14:paraId="4E4EF475" w14:textId="77777777" w:rsidR="004B5F5F" w:rsidRDefault="004B5F5F" w:rsidP="004B5F5F">
      <w:r>
        <w:t>5.2. Derechos y Obligaciones de los Escalafones</w:t>
      </w:r>
    </w:p>
    <w:p w14:paraId="46051448" w14:textId="77777777" w:rsidR="004B5F5F" w:rsidRDefault="004B5F5F" w:rsidP="004B5F5F"/>
    <w:p w14:paraId="4BE7D796" w14:textId="77777777" w:rsidR="004B5F5F" w:rsidRDefault="004B5F5F" w:rsidP="004B5F5F">
      <w:r>
        <w:t>Los derechos de los escalafones son los siguientes. Acceso a créditos en TBAC hasta el veinte por ciento del PIB del escalafón. Participación en las ganancias del arbitraje de divisas entre escalafones. Voto en el consejo con peso proporcional al PIB del escalafón. Acceso a la cámara de compensación para liquidación multilateral.</w:t>
      </w:r>
    </w:p>
    <w:p w14:paraId="18466FA2" w14:textId="77777777" w:rsidR="004B5F5F" w:rsidRDefault="004B5F5F" w:rsidP="004B5F5F"/>
    <w:p w14:paraId="61356108" w14:textId="77777777" w:rsidR="004B5F5F" w:rsidRDefault="004B5F5F" w:rsidP="004B5F5F">
      <w:r>
        <w:t>Las obligaciones de los escalafones son las siguientes. Mantener actualizados sus criptobonos nacionales y reportar datos macroeconómicos a los oráculos cada veinticuatro horas. No manipular los tipos de cambio para evitar arbitrajes artificiales. Garantizar la transparencia en la emisión de criptobonos y la capitalización de activos. Aportar al fondo común de garantía según su peso beta. Cumplir con las normas de auditoría externa vinculante.</w:t>
      </w:r>
    </w:p>
    <w:p w14:paraId="57D85F2C" w14:textId="77777777" w:rsidR="004B5F5F" w:rsidRDefault="004B5F5F" w:rsidP="004B5F5F"/>
    <w:p w14:paraId="22C81113" w14:textId="77777777" w:rsidR="004B5F5F" w:rsidRDefault="004B5F5F" w:rsidP="004B5F5F">
      <w:r>
        <w:t>La justificación de estos derechos y obligaciones es que el sistema debe ser equitativo y sostenible. Los derechos garantizan que cada escalafón pueda beneficiarse del sistema. Las obligaciones garantizan que cada escalafón contribuya al mantenimiento del sistema.</w:t>
      </w:r>
    </w:p>
    <w:p w14:paraId="7043C391" w14:textId="77777777" w:rsidR="004B5F5F" w:rsidRDefault="004B5F5F" w:rsidP="004B5F5F"/>
    <w:p w14:paraId="72B27E52" w14:textId="77777777" w:rsidR="004B5F5F" w:rsidRDefault="004B5F5F" w:rsidP="004B5F5F">
      <w:r>
        <w:t>5.3. Créditos Regionales y Garantías Multiescalares</w:t>
      </w:r>
    </w:p>
    <w:p w14:paraId="44A4F850" w14:textId="77777777" w:rsidR="004B5F5F" w:rsidRDefault="004B5F5F" w:rsidP="004B5F5F"/>
    <w:p w14:paraId="07D6FDE4" w14:textId="77777777" w:rsidR="004B5F5F" w:rsidRDefault="004B5F5F" w:rsidP="004B5F5F">
      <w:r>
        <w:t>Los créditos se conceden con garantía de los criptobonos del escalafón solicitante y, en caso necesario, con garantía solidaria de escalafones superiores. La tasa de interés es fija del dos por ciento anual más un spread que depende del índice de estabilidad del escalafón. El plazo de devolución es de cinco años, con posibilidad de extensión si el escalafón mejora su coherencia. En caso de incumplimiento, el consejo ejecuta la garantía y suspende nuevos desembolsos a ese escalafón.</w:t>
      </w:r>
    </w:p>
    <w:p w14:paraId="5DD6CBB9" w14:textId="77777777" w:rsidR="004B5F5F" w:rsidRDefault="004B5F5F" w:rsidP="004B5F5F"/>
    <w:p w14:paraId="14526561" w14:textId="77777777" w:rsidR="004B5F5F" w:rsidRDefault="004B5F5F" w:rsidP="004B5F5F">
      <w:r>
        <w:t>La justificación es que los créditos deben ser accesibles para todos los escalafones, pero con garantías que protejan al sistema. La tasa de interés fija del dos por ciento más un spread variable garantiza que el costo del crédito refleje el riesgo del escalafón. La garantía solidaria de escalafones superiores permite que los escalafones más pequeños accedan a crédito con el respaldo de escalafones más grandes.</w:t>
      </w:r>
    </w:p>
    <w:p w14:paraId="380806AA" w14:textId="77777777" w:rsidR="004B5F5F" w:rsidRDefault="004B5F5F" w:rsidP="004B5F5F"/>
    <w:p w14:paraId="26F48C17" w14:textId="77777777" w:rsidR="004B5F5F" w:rsidRDefault="004B5F5F" w:rsidP="004B5F5F">
      <w:r>
        <w:t>5.4. Relación con las Monedas Fiat Tradicionales</w:t>
      </w:r>
    </w:p>
    <w:p w14:paraId="0EAF0A27" w14:textId="77777777" w:rsidR="004B5F5F" w:rsidRDefault="004B5F5F" w:rsidP="004B5F5F"/>
    <w:p w14:paraId="6C252BB1" w14:textId="77777777" w:rsidR="004B5F5F" w:rsidRDefault="004B5F5F" w:rsidP="004B5F5F">
      <w:r>
        <w:t>Durante la transición de dos años, el TBAC coexiste con las monedas fiat de cada escalafón mediante un sistema de convertibilidad gestionado por los bancos centrales locales. La relación de convertibilidad se escribe como sigue.</w:t>
      </w:r>
    </w:p>
    <w:p w14:paraId="690A27F9" w14:textId="77777777" w:rsidR="004B5F5F" w:rsidRDefault="004B5F5F" w:rsidP="004B5F5F"/>
    <w:p w14:paraId="45AC7344" w14:textId="77777777" w:rsidR="004B5F5F" w:rsidRDefault="004B5F5F" w:rsidP="004B5F5F">
      <w:r>
        <w:t>1 TBAC = (n_i / UT_i(t)) unidades de moneda fiat del escalafón i + 0.1% de spread</w:t>
      </w:r>
    </w:p>
    <w:p w14:paraId="03CEE28E" w14:textId="77777777" w:rsidR="004B5F5F" w:rsidRDefault="004B5F5F" w:rsidP="004B5F5F"/>
    <w:p w14:paraId="32D615D0" w14:textId="77777777" w:rsidR="004B5F5F" w:rsidRDefault="004B5F5F" w:rsidP="004B5F5F">
      <w:r>
        <w:t>Donde n_i es el número de tokens del escalafón i. UT_i(t) es la unidad de tiempo del escalafón i en el tiempo t. La justificación es que la convertibilidad debe reflejar el valor estructural del TBAC en términos de la moneda fiat local. El spread del cero punto uno por ciento cubre los costos de transacción.</w:t>
      </w:r>
    </w:p>
    <w:p w14:paraId="5A0F9731" w14:textId="77777777" w:rsidR="004B5F5F" w:rsidRDefault="004B5F5F" w:rsidP="004B5F5F"/>
    <w:p w14:paraId="23280958" w14:textId="77777777" w:rsidR="004B5F5F" w:rsidRDefault="004B5F5F" w:rsidP="004B5F5F">
      <w:r>
        <w:t>Progresivamente, las monedas fiat se retiran de la circulación y el TBAC queda como la única moneda de curso legal en todos los escalafones. La justificación es que la coexistencia es temporal. Una vez que el TBAC demuestre su estabilidad, las monedas fiat dejan de ser necesarias.</w:t>
      </w:r>
    </w:p>
    <w:p w14:paraId="51FB46F1" w14:textId="77777777" w:rsidR="004B5F5F" w:rsidRDefault="004B5F5F" w:rsidP="004B5F5F"/>
    <w:p w14:paraId="2FDD5A74" w14:textId="77777777" w:rsidR="004B5F5F" w:rsidRDefault="004B5F5F" w:rsidP="004B5F5F">
      <w:r>
        <w:t>5.5. Auditoría y Cumplimiento</w:t>
      </w:r>
    </w:p>
    <w:p w14:paraId="59E3D1E1" w14:textId="77777777" w:rsidR="004B5F5F" w:rsidRDefault="004B5F5F" w:rsidP="004B5F5F"/>
    <w:p w14:paraId="13F7985B" w14:textId="77777777" w:rsidR="004B5F5F" w:rsidRDefault="004B5F5F" w:rsidP="004B5F5F">
      <w:r>
        <w:t>Se establece un sistema de auditoría en tres niveles. El primer nivel es la auditoría automática diaria de todos los parámetros y transacciones. El segundo nivel es la auditoría aleatoria semanal del diez por ciento de las operaciones. El tercer nivel es la auditoría completa anual por un comité independiente internacional. Cualquier desviación superior al cinco por ciento en los parámetros de calibración activa una alerta y requiere revisión inmediata por el consejo.</w:t>
      </w:r>
    </w:p>
    <w:p w14:paraId="1C9C98F4" w14:textId="77777777" w:rsidR="004B5F5F" w:rsidRDefault="004B5F5F" w:rsidP="004B5F5F"/>
    <w:p w14:paraId="3EA47D77" w14:textId="77777777" w:rsidR="004B5F5F" w:rsidRDefault="004B5F5F" w:rsidP="004B5F5F">
      <w:r>
        <w:t>La justificación es que la auditoría debe ser continua y exhaustiva. La auditoría automática diaria detecta problemas inmediatos. La auditoría aleatoria semanal detecta problemas recurrentes. La auditoría completa anual detecta problemas estructurales. La alerta por desviación superior al cinco por ciento garantiza que los problemas se detecten antes de que se conviertan en crisis.</w:t>
      </w:r>
    </w:p>
    <w:p w14:paraId="476E1A3E" w14:textId="77777777" w:rsidR="004B5F5F" w:rsidRDefault="004B5F5F" w:rsidP="004B5F5F"/>
    <w:p w14:paraId="65F19875" w14:textId="77777777" w:rsidR="004B5F5F" w:rsidRDefault="004B5F5F" w:rsidP="004B5F5F">
      <w:r>
        <w:t>5.6. Política de Uso del Índice de Oferta y Demanda</w:t>
      </w:r>
    </w:p>
    <w:p w14:paraId="0072BBD7" w14:textId="77777777" w:rsidR="004B5F5F" w:rsidRDefault="004B5F5F" w:rsidP="004B5F5F"/>
    <w:p w14:paraId="4C9CD9D5" w14:textId="77777777" w:rsidR="004B5F5F" w:rsidRDefault="004B5F5F" w:rsidP="004B5F5F">
      <w:r>
        <w:t>El índice de oferta y demanda de la masa monetaria se usará exclusivamente como indicador de desequilibrio monetario, no como precio de la moneda. El precio de la moneda se determinará con el factor de revalorización estructural del TST-TBAC. El índice de oferta y demanda se usará para detectar presiones especulativas, para calibrar los parámetros de cobertura y para activar los mecanismos de estabilización. No se usará para fijar el tipo de cambio oficial, porque no mide el valor estructural de la economía. El tipo de cambio oficial se fijará con la fórmula del tipo de cambio estructural, que es el cociente entre los factores de revalorización de las dos monedas. El índice Forex se usará como referencia secundaria y su desviación respecto al tipo de cambio estructural se medirá con el factor de subvaloración estructural.</w:t>
      </w:r>
    </w:p>
    <w:p w14:paraId="385D9919" w14:textId="77777777" w:rsidR="004B5F5F" w:rsidRDefault="004B5F5F" w:rsidP="004B5F5F"/>
    <w:p w14:paraId="79C7156B" w14:textId="77777777" w:rsidR="004B5F5F" w:rsidRDefault="004B5F5F" w:rsidP="004B5F5F">
      <w:r>
        <w:t>La justificación es que el índice de oferta y demanda es un indicador de presión, no un precio. Usarlo como precio sería repetir el error del Forex. El precio debe reflejar el respaldo estructural. El índice debe reflejar la presión de la demanda sobre la oferta. Ambos son necesarios, pero no son lo mismo. El sistema TST-TBAC los distingue y los usa para propósitos diferentes.</w:t>
      </w:r>
    </w:p>
    <w:p w14:paraId="658D92B2" w14:textId="77777777" w:rsidR="004B5F5F" w:rsidRDefault="004B5F5F" w:rsidP="004B5F5F"/>
    <w:p w14:paraId="03419501" w14:textId="77777777" w:rsidR="004B5F5F" w:rsidRDefault="004B5F5F" w:rsidP="004B5F5F">
      <w:r>
        <w:t>---</w:t>
      </w:r>
    </w:p>
    <w:p w14:paraId="05FDEEC8" w14:textId="77777777" w:rsidR="004B5F5F" w:rsidRDefault="004B5F5F" w:rsidP="004B5F5F"/>
    <w:p w14:paraId="79BE1099" w14:textId="77777777" w:rsidR="004B5F5F" w:rsidRDefault="004B5F5F" w:rsidP="004B5F5F">
      <w:r>
        <w:t>CONCLUSIÓN</w:t>
      </w:r>
    </w:p>
    <w:p w14:paraId="0B8FB948" w14:textId="77777777" w:rsidR="004B5F5F" w:rsidRDefault="004B5F5F" w:rsidP="004B5F5F"/>
    <w:p w14:paraId="23C3C584" w14:textId="77777777" w:rsidR="004B5F5F" w:rsidRDefault="004B5F5F" w:rsidP="004B5F5F">
      <w:r>
        <w:t>El mercado Forex no se ajusta a la realidad del valor de la moneda fiat según el TST-TBAC porque solo muestra un ratio de índice de oferta y demanda de la masa monetaria. Este ratio no mide el respaldo estructural de la economía. No mide el PIB, ni los recursos naturales, ni los activos del Estado, ni los ingresos fiscales futuros, ni el capital humano, ni el posicionamiento geopolítico. Solo mide la relación entre la oferta y la demanda de dinero en un momento dado. Por lo tanto, no sirve para fijar el precio de una moneda. Sirve para mostrar un índice de presión especulativa.</w:t>
      </w:r>
    </w:p>
    <w:p w14:paraId="287D21EF" w14:textId="77777777" w:rsidR="004B5F5F" w:rsidRDefault="004B5F5F" w:rsidP="004B5F5F"/>
    <w:p w14:paraId="638BA484" w14:textId="77777777" w:rsidR="004B5F5F" w:rsidRDefault="004B5F5F" w:rsidP="004B5F5F">
      <w:r>
        <w:t>El precio real de la moneda es el factor de revalorización estructural del TST-TBAC. El tipo de cambio estructural entre dos monedas es el cociente entre sus factores de revalorización. El índice Forex es solo una aproximación distorsionada de ese cociente. La diferencia entre ambos se mide con el factor de subvaloración estructural. El sistema TST-TBAC proporciona el marco teórico, las leyes fundamentales, el protocolo científico y las políticas de gobernanza para corregir esta distorsión y fijar el precio de las monedas en función de su respaldo estructural real.</w:t>
      </w:r>
    </w:p>
    <w:p w14:paraId="7F333BDC" w14:textId="77777777" w:rsidR="004B5F5F" w:rsidRDefault="004B5F5F" w:rsidP="004B5F5F"/>
    <w:p w14:paraId="6B8C53F1" w14:textId="77777777" w:rsidR="004B5F5F" w:rsidRDefault="004B5F5F" w:rsidP="004B5F5F">
      <w:r>
        <w:t>Cada teoría ha sido justificada con sus respectivas ecuaciones, explicando cada término y cada relación. Las leyes fundamentales han sido formuladas con sus ecuaciones diferenciales completas. El protocolo de Lyapunov y Monte Carlo ha sido desarrollado con sus diez variables de estado, sus diez ecuaciones diferenciales, su función de Lyapunov, sus condiciones de estabilidad, sus teoremas y su algoritmo de simulación con diez mil iteraciones. Las políticas de gobernanza han sido establecidas con sus reglas de composición, derechos, obligaciones, créditos, convertibilidad, auditoría y uso del índice.</w:t>
      </w:r>
    </w:p>
    <w:p w14:paraId="017D297C" w14:textId="77777777" w:rsidR="004B5F5F" w:rsidRDefault="004B5F5F" w:rsidP="004B5F5F"/>
    <w:p w14:paraId="39AD20EF" w14:textId="77777777" w:rsidR="004B5F5F" w:rsidRDefault="004B5F5F" w:rsidP="004B5F5F">
      <w:r>
        <w:t>---</w:t>
      </w:r>
    </w:p>
    <w:p w14:paraId="41D55514" w14:textId="77777777" w:rsidR="004B5F5F" w:rsidRDefault="004B5F5F" w:rsidP="004B5F5F"/>
    <w:p w14:paraId="302DC6EB" w14:textId="77777777" w:rsidR="004B5F5F" w:rsidRDefault="004B5F5F" w:rsidP="004B5F5F">
      <w:r>
        <w:t>Enlace al repositorio:</w:t>
      </w:r>
    </w:p>
    <w:p w14:paraId="6734F95D" w14:textId="77777777" w:rsidR="004B5F5F" w:rsidRDefault="004B5F5F" w:rsidP="004B5F5F"/>
    <w:p w14:paraId="2C2225EB" w14:textId="764F5660" w:rsidR="004B5F5F" w:rsidRDefault="004B5F5F">
      <w:r>
        <w:t>https://github.com/reumend/VALOR-REAL-DEL-BOLIVAR-VENEZOLANO-</w:t>
      </w:r>
    </w:p>
    <w:sectPr w:rsidR="004B5F5F">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 w:name="Segoe UI Symbol">
    <w:panose1 w:val="020B0502040204020203"/>
    <w:charset w:val="00"/>
    <w:family w:val="swiss"/>
    <w:pitch w:val="variable"/>
    <w:sig w:usb0="800001E3" w:usb1="1200FFEF" w:usb2="0064C000" w:usb3="00000000" w:csb0="00000001" w:csb1="00000000"/>
  </w:font>
  <w:font w:name="Arial">
    <w:panose1 w:val="020B0604020202020204"/>
    <w:charset w:val="00"/>
    <w:family w:val="swiss"/>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F5F"/>
    <w:rsid w:val="004B5F5F"/>
    <w:rsid w:val="00E42D92"/>
    <w:rsid w:val="00EC146A"/>
    <w:rsid w:val="00F275A5"/>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4BD71B19"/>
  <w15:chartTrackingRefBased/>
  <w15:docId w15:val="{76D0CCA8-B71A-F048-9024-CD26BB5E5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B5F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B5F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B5F5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B5F5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B5F5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B5F5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B5F5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B5F5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B5F5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B5F5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B5F5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B5F5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B5F5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B5F5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B5F5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B5F5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B5F5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B5F5F"/>
    <w:rPr>
      <w:rFonts w:eastAsiaTheme="majorEastAsia" w:cstheme="majorBidi"/>
      <w:color w:val="272727" w:themeColor="text1" w:themeTint="D8"/>
    </w:rPr>
  </w:style>
  <w:style w:type="paragraph" w:styleId="Ttulo">
    <w:name w:val="Title"/>
    <w:basedOn w:val="Normal"/>
    <w:next w:val="Normal"/>
    <w:link w:val="TtuloCar"/>
    <w:uiPriority w:val="10"/>
    <w:qFormat/>
    <w:rsid w:val="004B5F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B5F5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B5F5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B5F5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B5F5F"/>
    <w:pPr>
      <w:spacing w:before="160"/>
      <w:jc w:val="center"/>
    </w:pPr>
    <w:rPr>
      <w:i/>
      <w:iCs/>
      <w:color w:val="404040" w:themeColor="text1" w:themeTint="BF"/>
    </w:rPr>
  </w:style>
  <w:style w:type="character" w:customStyle="1" w:styleId="CitaCar">
    <w:name w:val="Cita Car"/>
    <w:basedOn w:val="Fuentedeprrafopredeter"/>
    <w:link w:val="Cita"/>
    <w:uiPriority w:val="29"/>
    <w:rsid w:val="004B5F5F"/>
    <w:rPr>
      <w:i/>
      <w:iCs/>
      <w:color w:val="404040" w:themeColor="text1" w:themeTint="BF"/>
    </w:rPr>
  </w:style>
  <w:style w:type="paragraph" w:styleId="Prrafodelista">
    <w:name w:val="List Paragraph"/>
    <w:basedOn w:val="Normal"/>
    <w:uiPriority w:val="34"/>
    <w:qFormat/>
    <w:rsid w:val="004B5F5F"/>
    <w:pPr>
      <w:ind w:left="720"/>
      <w:contextualSpacing/>
    </w:pPr>
  </w:style>
  <w:style w:type="character" w:styleId="nfasisintenso">
    <w:name w:val="Intense Emphasis"/>
    <w:basedOn w:val="Fuentedeprrafopredeter"/>
    <w:uiPriority w:val="21"/>
    <w:qFormat/>
    <w:rsid w:val="004B5F5F"/>
    <w:rPr>
      <w:i/>
      <w:iCs/>
      <w:color w:val="0F4761" w:themeColor="accent1" w:themeShade="BF"/>
    </w:rPr>
  </w:style>
  <w:style w:type="paragraph" w:styleId="Citadestacada">
    <w:name w:val="Intense Quote"/>
    <w:basedOn w:val="Normal"/>
    <w:next w:val="Normal"/>
    <w:link w:val="CitadestacadaCar"/>
    <w:uiPriority w:val="30"/>
    <w:qFormat/>
    <w:rsid w:val="004B5F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B5F5F"/>
    <w:rPr>
      <w:i/>
      <w:iCs/>
      <w:color w:val="0F4761" w:themeColor="accent1" w:themeShade="BF"/>
    </w:rPr>
  </w:style>
  <w:style w:type="character" w:styleId="Referenciaintensa">
    <w:name w:val="Intense Reference"/>
    <w:basedOn w:val="Fuentedeprrafopredeter"/>
    <w:uiPriority w:val="32"/>
    <w:qFormat/>
    <w:rsid w:val="004B5F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11124</Words>
  <Characters>61184</Characters>
  <Application>Microsoft Office Word</Application>
  <DocSecurity>0</DocSecurity>
  <Lines>509</Lines>
  <Paragraphs>144</Paragraphs>
  <ScaleCrop>false</ScaleCrop>
  <Company/>
  <LinksUpToDate>false</LinksUpToDate>
  <CharactersWithSpaces>72164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2026-09-22T13:18:00Z</dcterms:created>
  <dcterms:modified xsi:type="dcterms:W3CDTF">2026-09-22T13:18:00Z</dcterms:modified>
</cp:coreProperties>
</file>