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49E9B" w14:textId="77777777" w:rsidR="001A54F7" w:rsidRDefault="001A54F7" w:rsidP="001A54F7">
      <w:r>
        <w:t>PROTOCOLO DE COMPENSACIÓN SOBERANA DE FASE DUAL: TOKENIZACIÓN DE BONOS, CRÉDITOS HIPOTECARIOS TOKENIZADOS, FINANCIAMIENTO DE VIVIENDAS NUEVAS Y LIQUIDACIÓN DE DEUDA PÚBLICA CON ASIENTOS CONTABLES PARA LA RED CANTON NETWORK</w:t>
      </w:r>
    </w:p>
    <w:p w14:paraId="65B5532F" w14:textId="77777777" w:rsidR="001A54F7" w:rsidRDefault="001A54F7" w:rsidP="001A54F7"/>
    <w:p w14:paraId="784518B9" w14:textId="77777777" w:rsidR="001A54F7" w:rsidRDefault="001A54F7" w:rsidP="001A54F7">
      <w:r>
        <w:t xml:space="preserve">Autor del Modelo y del Protocolo Contable: </w:t>
      </w:r>
      <w:proofErr w:type="spellStart"/>
      <w:r>
        <w:t>Roberth</w:t>
      </w:r>
      <w:proofErr w:type="spellEnd"/>
      <w:r>
        <w:t xml:space="preserve"> </w:t>
      </w:r>
      <w:proofErr w:type="spellStart"/>
      <w:r>
        <w:t>Willians</w:t>
      </w:r>
      <w:proofErr w:type="spellEnd"/>
      <w:r>
        <w:t xml:space="preserve"> Mendoza Requena</w:t>
      </w:r>
    </w:p>
    <w:p w14:paraId="0DD26B91" w14:textId="77777777" w:rsidR="001A54F7" w:rsidRDefault="001A54F7" w:rsidP="001A54F7">
      <w:r>
        <w:t>Fecha del Documento: 01 de mayo de 2026</w:t>
      </w:r>
    </w:p>
    <w:p w14:paraId="5C7564FA" w14:textId="77777777" w:rsidR="001A54F7" w:rsidRDefault="001A54F7" w:rsidP="001A54F7">
      <w:r>
        <w:t>Versión: 1.0 (Formato Continuo – Sin Tablas)</w:t>
      </w:r>
    </w:p>
    <w:p w14:paraId="1EAFB9B7" w14:textId="77777777" w:rsidR="001A54F7" w:rsidRDefault="001A54F7" w:rsidP="001A54F7">
      <w:r>
        <w:t xml:space="preserve">Propósito: Proporcionar a la Red </w:t>
      </w:r>
      <w:proofErr w:type="spellStart"/>
      <w:r>
        <w:t>Canton</w:t>
      </w:r>
      <w:proofErr w:type="spellEnd"/>
      <w:r>
        <w:t xml:space="preserve"> Network el manual contable detallado para la ejecución del Bucle de Compensación Soberana de Fase Dual – Modalidad Hipotecaria y de Vivienda, que permite la conversión de bonos tradicionales de EE.UU. en bonos </w:t>
      </w:r>
      <w:proofErr w:type="spellStart"/>
      <w:r>
        <w:t>tokenizados</w:t>
      </w:r>
      <w:proofErr w:type="spellEnd"/>
      <w:r>
        <w:t xml:space="preserve">, la creación de depósitos de crédito </w:t>
      </w:r>
      <w:proofErr w:type="spellStart"/>
      <w:r>
        <w:t>tokenizados</w:t>
      </w:r>
      <w:proofErr w:type="spellEnd"/>
      <w:r>
        <w:t xml:space="preserve">, la emisión de créditos hipotecarios </w:t>
      </w:r>
      <w:proofErr w:type="spellStart"/>
      <w:r>
        <w:t>tokenizados</w:t>
      </w:r>
      <w:proofErr w:type="spellEnd"/>
      <w:r>
        <w:t xml:space="preserve"> y financiamiento de viviendas nuevas, y la liquidación de la deuda pública </w:t>
      </w:r>
      <w:proofErr w:type="spellStart"/>
      <w:r>
        <w:t>tokenizada</w:t>
      </w:r>
      <w:proofErr w:type="spellEnd"/>
      <w:r>
        <w:t xml:space="preserve"> mediante los spreads generados por el pago de las cuotas hipotecarias con dinero </w:t>
      </w:r>
      <w:proofErr w:type="spellStart"/>
      <w:r>
        <w:t>fiat</w:t>
      </w:r>
      <w:proofErr w:type="spellEnd"/>
      <w:r>
        <w:t xml:space="preserve">. Todo ello respaldado por los diez documentos fundacionales, la Fórmula B, el mecanismo BCAS y la infraestructura de la Red </w:t>
      </w:r>
      <w:proofErr w:type="spellStart"/>
      <w:r>
        <w:t>Canton</w:t>
      </w:r>
      <w:proofErr w:type="spellEnd"/>
      <w:r>
        <w:t>.</w:t>
      </w:r>
    </w:p>
    <w:p w14:paraId="567474BA" w14:textId="77777777" w:rsidR="001A54F7" w:rsidRDefault="001A54F7" w:rsidP="001A54F7"/>
    <w:p w14:paraId="4CAED5D7" w14:textId="77777777" w:rsidR="001A54F7" w:rsidRDefault="001A54F7" w:rsidP="001A54F7">
      <w:r>
        <w:t>---</w:t>
      </w:r>
    </w:p>
    <w:p w14:paraId="6A4E83E0" w14:textId="77777777" w:rsidR="001A54F7" w:rsidRDefault="001A54F7" w:rsidP="001A54F7"/>
    <w:p w14:paraId="6126225B" w14:textId="77777777" w:rsidR="001A54F7" w:rsidRDefault="001A54F7" w:rsidP="001A54F7">
      <w:r>
        <w:t>PREMISAS FUNDAMENTALES DEL PROTOCOLO HIPOTECARIO Y DE VIVIENDA</w:t>
      </w:r>
    </w:p>
    <w:p w14:paraId="0F00F22D" w14:textId="77777777" w:rsidR="001A54F7" w:rsidRDefault="001A54F7" w:rsidP="001A54F7"/>
    <w:p w14:paraId="32575827" w14:textId="77777777" w:rsidR="001A54F7" w:rsidRDefault="001A54F7" w:rsidP="001A54F7">
      <w:r>
        <w:t>1. El Crédito Hipotecario como Motor de Liquidación de Largo Plazo: A diferencia de las tarjetas de crédito y las pólizas de seguro, los créditos hipotecarios representan un flujo de pagos a largo plazo (15 a 30 años) que genera un ingreso constante y predecible de spreads. Cada cuota hipotecaria pagada por el ciudadano se convierte en un micro</w:t>
      </w:r>
      <w:r>
        <w:rPr>
          <w:rFonts w:ascii="Roboto" w:hAnsi="Roboto" w:cs="Roboto"/>
        </w:rPr>
        <w:t>‑</w:t>
      </w:r>
      <w:r>
        <w:t>aporte al Fondo Soberano de Liquidación de Deuda (FSLD).</w:t>
      </w:r>
    </w:p>
    <w:p w14:paraId="5BDDA5A9" w14:textId="77777777" w:rsidR="001A54F7" w:rsidRDefault="001A54F7" w:rsidP="001A54F7">
      <w:r>
        <w:t xml:space="preserve">2. La Vivienda como Colateral Tangible y Activo Productivo: El crédito hipotecario </w:t>
      </w:r>
      <w:proofErr w:type="spellStart"/>
      <w:r>
        <w:t>tokenizado</w:t>
      </w:r>
      <w:proofErr w:type="spellEnd"/>
      <w:r>
        <w:t xml:space="preserve"> está respaldado por una triple garantía: el </w:t>
      </w:r>
      <w:proofErr w:type="spellStart"/>
      <w:r>
        <w:t>Criptobono</w:t>
      </w:r>
      <w:proofErr w:type="spellEnd"/>
      <w:r>
        <w:t xml:space="preserve"> NFT de Deuda Pública como colateral financiero, la Garantía TBAC constituida en el momento de la emisión del crédito, y el bien inmueble como colateral tangible. Esto convierte al sistema en el más seguro del mundo para la financiación de vivienda.</w:t>
      </w:r>
    </w:p>
    <w:p w14:paraId="612927E6" w14:textId="77777777" w:rsidR="001A54F7" w:rsidRDefault="001A54F7" w:rsidP="001A54F7">
      <w:r>
        <w:t xml:space="preserve">3. </w:t>
      </w:r>
      <w:proofErr w:type="spellStart"/>
      <w:r>
        <w:t>Tokenización</w:t>
      </w:r>
      <w:proofErr w:type="spellEnd"/>
      <w:r>
        <w:t xml:space="preserve"> de la Hipoteca y del Título de Propiedad: Tanto la hipoteca como el título de propiedad de la vivienda se </w:t>
      </w:r>
      <w:proofErr w:type="spellStart"/>
      <w:r>
        <w:t>tokenizan</w:t>
      </w:r>
      <w:proofErr w:type="spellEnd"/>
      <w:r>
        <w:t xml:space="preserve"> como </w:t>
      </w:r>
      <w:proofErr w:type="spellStart"/>
      <w:r>
        <w:t>Criptoactivos</w:t>
      </w:r>
      <w:proofErr w:type="spellEnd"/>
      <w:r>
        <w:t xml:space="preserve"> de Vivienda </w:t>
      </w:r>
      <w:proofErr w:type="spellStart"/>
      <w:r>
        <w:t>Tokenizada</w:t>
      </w:r>
      <w:proofErr w:type="spellEnd"/>
      <w:r>
        <w:t xml:space="preserve"> (CVT) y </w:t>
      </w:r>
      <w:proofErr w:type="spellStart"/>
      <w:r>
        <w:t>Cripto</w:t>
      </w:r>
      <w:proofErr w:type="spellEnd"/>
      <w:r>
        <w:rPr>
          <w:rFonts w:ascii="Roboto" w:hAnsi="Roboto" w:cs="Roboto"/>
        </w:rPr>
        <w:t>‑</w:t>
      </w:r>
      <w:r>
        <w:t xml:space="preserve">Hipotecas (CHT), ambos negociables en la Red </w:t>
      </w:r>
      <w:proofErr w:type="spellStart"/>
      <w:r>
        <w:t>Canton</w:t>
      </w:r>
      <w:proofErr w:type="spellEnd"/>
      <w:r>
        <w:t>, lo que otorga liquidez inmediata a un mercado tradicionalmente ilíquido.</w:t>
      </w:r>
    </w:p>
    <w:p w14:paraId="02EC84CA" w14:textId="77777777" w:rsidR="001A54F7" w:rsidRDefault="001A54F7" w:rsidP="001A54F7">
      <w:r>
        <w:t xml:space="preserve">4. Captura de Spreads en la </w:t>
      </w:r>
      <w:proofErr w:type="spellStart"/>
      <w:r>
        <w:t>Originación</w:t>
      </w:r>
      <w:proofErr w:type="spellEnd"/>
      <w:r>
        <w:t xml:space="preserve"> y en las Cuotas: El sistema captura un spread en dos momentos: en la </w:t>
      </w:r>
      <w:proofErr w:type="spellStart"/>
      <w:r>
        <w:t>originación</w:t>
      </w:r>
      <w:proofErr w:type="spellEnd"/>
      <w:r>
        <w:t xml:space="preserve"> del crédito (comisión de apertura </w:t>
      </w:r>
      <w:proofErr w:type="spellStart"/>
      <w:r>
        <w:t>tokenizada</w:t>
      </w:r>
      <w:proofErr w:type="spellEnd"/>
      <w:r>
        <w:t>) y en cada cuota mensual pagada por el ciudadano. Ambos spreads se canalizan al FSLD para la liquidación autónoma de la deuda pública.</w:t>
      </w:r>
    </w:p>
    <w:p w14:paraId="46AEF1E1" w14:textId="77777777" w:rsidR="001A54F7" w:rsidRDefault="001A54F7" w:rsidP="001A54F7">
      <w:r>
        <w:t xml:space="preserve">5. Ciclo Cerrado de Valor: El dinero </w:t>
      </w:r>
      <w:proofErr w:type="spellStart"/>
      <w:r>
        <w:t>fiat</w:t>
      </w:r>
      <w:proofErr w:type="spellEnd"/>
      <w:r>
        <w:t xml:space="preserve"> que el ciudadano utiliza para pagar su hipoteca fluye a través del sistema, redime gradualmente los </w:t>
      </w:r>
      <w:proofErr w:type="spellStart"/>
      <w:r>
        <w:t>Criptobonos</w:t>
      </w:r>
      <w:proofErr w:type="spellEnd"/>
      <w:r>
        <w:t xml:space="preserve"> subyacentes, y libera la garantía TBAC, que es destruida, ajustando la masa monetaria. El Tesoro no desembolsa dinero; el ecosistema se autoliquida.</w:t>
      </w:r>
    </w:p>
    <w:p w14:paraId="40821CEE" w14:textId="77777777" w:rsidR="001A54F7" w:rsidRDefault="001A54F7" w:rsidP="001A54F7"/>
    <w:p w14:paraId="5A9CBF49" w14:textId="77777777" w:rsidR="001A54F7" w:rsidRDefault="001A54F7" w:rsidP="001A54F7">
      <w:r>
        <w:t>---</w:t>
      </w:r>
    </w:p>
    <w:p w14:paraId="4A6331C7" w14:textId="77777777" w:rsidR="001A54F7" w:rsidRDefault="001A54F7" w:rsidP="001A54F7"/>
    <w:p w14:paraId="5A798C76" w14:textId="77777777" w:rsidR="001A54F7" w:rsidRDefault="001A54F7" w:rsidP="001A54F7">
      <w:r>
        <w:t>SECCIÓN I: LIBRO DIARIO MAESTRO DE LA RED CANTON (REGISTRO CRONOLÓGICO DEL BUCLE DE FASE DUAL – MODALIDAD HIPOTECARIA Y DE VIVIENDA)</w:t>
      </w:r>
    </w:p>
    <w:p w14:paraId="040E7DA9" w14:textId="77777777" w:rsidR="001A54F7" w:rsidRDefault="001A54F7" w:rsidP="001A54F7"/>
    <w:p w14:paraId="3AF77A5C" w14:textId="77777777" w:rsidR="001A54F7" w:rsidRDefault="001A54F7" w:rsidP="001A54F7">
      <w:r>
        <w:t xml:space="preserve">A continuación, se presentan todos los asientos contables en el orden cronológico exacto en que deben ser ejecutados por la Red </w:t>
      </w:r>
      <w:proofErr w:type="spellStart"/>
      <w:r>
        <w:t>Canton</w:t>
      </w:r>
      <w:proofErr w:type="spellEnd"/>
      <w:r>
        <w:t xml:space="preserve"> para implementar el Bucle de Compensación Soberana de Fase Dual con Créditos Hipotecarios </w:t>
      </w:r>
      <w:proofErr w:type="spellStart"/>
      <w:r>
        <w:t>Tokenizados</w:t>
      </w:r>
      <w:proofErr w:type="spellEnd"/>
      <w:r>
        <w:t xml:space="preserve"> y Financiamiento de Viviendas Nuevas. Se ha utilizado un fraccionamiento diario de trescientos cincuenta mil millones de dólares (USD 350,000,000,000) para las operaciones de </w:t>
      </w:r>
      <w:proofErr w:type="spellStart"/>
      <w:r>
        <w:t>tokenización</w:t>
      </w:r>
      <w:proofErr w:type="spellEnd"/>
      <w:r>
        <w:t xml:space="preserve"> inicial, mientras que los flujos hipotecarios son mensuales.</w:t>
      </w:r>
    </w:p>
    <w:p w14:paraId="431DFD94" w14:textId="77777777" w:rsidR="001A54F7" w:rsidRDefault="001A54F7" w:rsidP="001A54F7"/>
    <w:p w14:paraId="7095EEA7" w14:textId="77777777" w:rsidR="001A54F7" w:rsidRDefault="001A54F7" w:rsidP="001A54F7">
      <w:r>
        <w:t>---</w:t>
      </w:r>
    </w:p>
    <w:p w14:paraId="42F17F58" w14:textId="77777777" w:rsidR="001A54F7" w:rsidRDefault="001A54F7" w:rsidP="001A54F7"/>
    <w:p w14:paraId="45AF246A" w14:textId="77777777" w:rsidR="001A54F7" w:rsidRDefault="001A54F7" w:rsidP="001A54F7">
      <w:r>
        <w:t>PARTE 1: TOKENIZACIÓN DE LOS BONOS TRADICIONALES DEL TESORO DE EE.UU. (CONVERSIÓN A CRIPTOBONOS NFT)</w:t>
      </w:r>
    </w:p>
    <w:p w14:paraId="6B14E15A" w14:textId="77777777" w:rsidR="001A54F7" w:rsidRDefault="001A54F7" w:rsidP="001A54F7"/>
    <w:p w14:paraId="1B163AA6" w14:textId="77777777" w:rsidR="001A54F7" w:rsidRDefault="001A54F7" w:rsidP="001A54F7">
      <w:r>
        <w:t xml:space="preserve">Asiento Número 1. Fecha: Día 1 de </w:t>
      </w:r>
      <w:proofErr w:type="spellStart"/>
      <w:r>
        <w:t>Tokenización</w:t>
      </w:r>
      <w:proofErr w:type="spellEnd"/>
      <w:r>
        <w:t xml:space="preserve">. Concepto: Conversión de Bonos del Tesoro Tradicionales en </w:t>
      </w:r>
      <w:proofErr w:type="spellStart"/>
      <w:r>
        <w:t>Criptobonos</w:t>
      </w:r>
      <w:proofErr w:type="spellEnd"/>
      <w:r>
        <w:t xml:space="preserve"> NFT (</w:t>
      </w:r>
      <w:proofErr w:type="spellStart"/>
      <w:r>
        <w:t>Tokenización</w:t>
      </w:r>
      <w:proofErr w:type="spellEnd"/>
      <w:r>
        <w:t xml:space="preserve"> de la Deuda Pública).</w:t>
      </w:r>
    </w:p>
    <w:p w14:paraId="3ED4BD02" w14:textId="77777777" w:rsidR="001A54F7" w:rsidRDefault="001A54F7" w:rsidP="001A54F7">
      <w:r>
        <w:t xml:space="preserve">Referencia: Documento de Aplicación a EE.UU., Sección 5.3, </w:t>
      </w:r>
      <w:proofErr w:type="spellStart"/>
      <w:r>
        <w:t>Criptobono</w:t>
      </w:r>
      <w:proofErr w:type="spellEnd"/>
      <w:r>
        <w:t xml:space="preserve"> 1. Documento Original: Teoría de Sistema de Revalorización Monetaria mediante </w:t>
      </w:r>
      <w:proofErr w:type="spellStart"/>
      <w:r>
        <w:t>Criptobonos</w:t>
      </w:r>
      <w:proofErr w:type="spellEnd"/>
      <w:r>
        <w:t>-NFT Vinculados a Bonos TIPS.</w:t>
      </w:r>
    </w:p>
    <w:p w14:paraId="0263D33E" w14:textId="77777777" w:rsidR="001A54F7" w:rsidRDefault="001A54F7" w:rsidP="001A54F7">
      <w:r>
        <w:t xml:space="preserve">Descripción: El Tesoro de los Estados Unidos, a través de la Red </w:t>
      </w:r>
      <w:proofErr w:type="spellStart"/>
      <w:r>
        <w:t>Canton</w:t>
      </w:r>
      <w:proofErr w:type="spellEnd"/>
      <w:r>
        <w:t xml:space="preserve">, convierte un tramo diario de USD 350,000,000,000 de su deuda pública tradicional en </w:t>
      </w:r>
      <w:proofErr w:type="spellStart"/>
      <w:r>
        <w:t>Criptobonos</w:t>
      </w:r>
      <w:proofErr w:type="spellEnd"/>
      <w:r>
        <w:t xml:space="preserve"> NFT de Deuda Pública. Este proceso "encapsula" el bono tradicional en un </w:t>
      </w:r>
      <w:proofErr w:type="spellStart"/>
      <w:r>
        <w:t>token</w:t>
      </w:r>
      <w:proofErr w:type="spellEnd"/>
      <w:r>
        <w:t xml:space="preserve"> digital de alta velocidad, manteniendo su valor nominal y condiciones de interés, pero dotándolo de liquidez inmediata y capacidad de ser utilizado como colateral para la emisión de créditos hipotecarios. El valor nominal total a </w:t>
      </w:r>
      <w:proofErr w:type="spellStart"/>
      <w:r>
        <w:t>tokenizar</w:t>
      </w:r>
      <w:proofErr w:type="spellEnd"/>
      <w:r>
        <w:t xml:space="preserve"> es de USD 39,000,000,000,000, que se completará en aproximadamente ciento doce días hábiles.</w:t>
      </w:r>
    </w:p>
    <w:p w14:paraId="4AAB9903" w14:textId="77777777" w:rsidR="001A54F7" w:rsidRDefault="001A54F7" w:rsidP="001A54F7">
      <w:r>
        <w:t xml:space="preserve">Detalle del Débito: Código de Cuenta: 1301-DP. Nombre de la Cuenta: Activo - </w:t>
      </w:r>
      <w:proofErr w:type="spellStart"/>
      <w:r>
        <w:t>Criptobono</w:t>
      </w:r>
      <w:proofErr w:type="spellEnd"/>
      <w:r>
        <w:t xml:space="preserve"> NFT Deuda Pública (Cartera Colateral). Monto: USD 350,000,000,000.</w:t>
      </w:r>
    </w:p>
    <w:p w14:paraId="3419D75E" w14:textId="77777777" w:rsidR="001A54F7" w:rsidRDefault="001A54F7" w:rsidP="001A54F7">
      <w:r>
        <w:t>Detalle del Crédito: Código de Cuenta: 2101. Nombre de la Cuenta: Deuda Pública Federal (Pasivo Exigible). Monto: USD 350,000,000,000.</w:t>
      </w:r>
    </w:p>
    <w:p w14:paraId="5E68025F" w14:textId="77777777" w:rsidR="001A54F7" w:rsidRDefault="001A54F7" w:rsidP="001A54F7">
      <w:r>
        <w:t xml:space="preserve">Explicación Contable: Este asiento transforma un pasivo tradicional en un activo digital </w:t>
      </w:r>
      <w:proofErr w:type="spellStart"/>
      <w:r>
        <w:t>colateralizable</w:t>
      </w:r>
      <w:proofErr w:type="spellEnd"/>
      <w:r>
        <w:t xml:space="preserve"> que circulará por la Red </w:t>
      </w:r>
      <w:proofErr w:type="spellStart"/>
      <w:r>
        <w:t>Canton</w:t>
      </w:r>
      <w:proofErr w:type="spellEnd"/>
      <w:r>
        <w:t xml:space="preserve"> como respaldo último de los créditos hipotecarios.</w:t>
      </w:r>
    </w:p>
    <w:p w14:paraId="572FCC74" w14:textId="77777777" w:rsidR="001A54F7" w:rsidRDefault="001A54F7" w:rsidP="001A54F7"/>
    <w:p w14:paraId="5FC36517" w14:textId="77777777" w:rsidR="001A54F7" w:rsidRDefault="001A54F7" w:rsidP="001A54F7">
      <w:r>
        <w:t>---</w:t>
      </w:r>
    </w:p>
    <w:p w14:paraId="660A1339" w14:textId="77777777" w:rsidR="001A54F7" w:rsidRDefault="001A54F7" w:rsidP="001A54F7"/>
    <w:p w14:paraId="2B9052D1" w14:textId="77777777" w:rsidR="001A54F7" w:rsidRDefault="001A54F7" w:rsidP="001A54F7">
      <w:r>
        <w:t>PARTE 2: EMISIÓN DE DEPÓSITOS DE CRÉDITO TOKENIZADOS (DCT) PARA EL SECTOR HIPOTECARIO</w:t>
      </w:r>
    </w:p>
    <w:p w14:paraId="5AC5DEFC" w14:textId="77777777" w:rsidR="001A54F7" w:rsidRDefault="001A54F7" w:rsidP="001A54F7"/>
    <w:p w14:paraId="74085930" w14:textId="77777777" w:rsidR="001A54F7" w:rsidRDefault="001A54F7" w:rsidP="001A54F7">
      <w:r>
        <w:t xml:space="preserve">Asiento Número 2. Fecha: Día 2 (Un día después de la </w:t>
      </w:r>
      <w:proofErr w:type="spellStart"/>
      <w:r>
        <w:t>tokenización</w:t>
      </w:r>
      <w:proofErr w:type="spellEnd"/>
      <w:r>
        <w:t xml:space="preserve"> de cada tramo). Concepto: Recepción del </w:t>
      </w:r>
      <w:proofErr w:type="spellStart"/>
      <w:r>
        <w:t>Criptobono</w:t>
      </w:r>
      <w:proofErr w:type="spellEnd"/>
      <w:r>
        <w:t xml:space="preserve"> NFT como Colateral y Emisión de Depósitos de Crédito </w:t>
      </w:r>
      <w:proofErr w:type="spellStart"/>
      <w:r>
        <w:t>Tokenizados</w:t>
      </w:r>
      <w:proofErr w:type="spellEnd"/>
      <w:r>
        <w:t xml:space="preserve"> (DCT) para la Banca Hipotecaria, con Constitución de la Garantía TBAC.</w:t>
      </w:r>
    </w:p>
    <w:p w14:paraId="7F527900" w14:textId="77777777" w:rsidR="001A54F7" w:rsidRDefault="001A54F7" w:rsidP="001A54F7">
      <w:r>
        <w:t>Referencia: Documento 2 (</w:t>
      </w:r>
      <w:proofErr w:type="spellStart"/>
      <w:r>
        <w:t>Token</w:t>
      </w:r>
      <w:proofErr w:type="spellEnd"/>
      <w:r>
        <w:t xml:space="preserve"> Nativo de Canasta para Ligas Federales - TN-LF), Dimensión de </w:t>
      </w:r>
      <w:proofErr w:type="spellStart"/>
      <w:r>
        <w:t>Criptoactivo</w:t>
      </w:r>
      <w:proofErr w:type="spellEnd"/>
      <w:r>
        <w:t xml:space="preserve"> de Crédito Regional. Documento 8 (Exchange Híbrida de Vanguardia - ELH-CAS 2.0), Sección de Integración con Sistema Bancario. Protocolo de Garantía Soberana (TBAC como Respaldo de Liquidez).</w:t>
      </w:r>
    </w:p>
    <w:p w14:paraId="19F8EADD" w14:textId="77777777" w:rsidR="001A54F7" w:rsidRDefault="001A54F7" w:rsidP="001A54F7">
      <w:r>
        <w:t xml:space="preserve">Descripción: Los bancos hipotecarios miembros de la Red </w:t>
      </w:r>
      <w:proofErr w:type="spellStart"/>
      <w:r>
        <w:t>Canton</w:t>
      </w:r>
      <w:proofErr w:type="spellEnd"/>
      <w:r>
        <w:t xml:space="preserve"> reciben los </w:t>
      </w:r>
      <w:proofErr w:type="spellStart"/>
      <w:r>
        <w:t>Criptobonos</w:t>
      </w:r>
      <w:proofErr w:type="spellEnd"/>
      <w:r>
        <w:t xml:space="preserve"> NFT de Deuda Pública como colateral de alta calidad. Para emitir créditos hipotecarios, el banco solicita al contrato inteligente del TBAC la acuñación de una cantidad equivalente de TBAC como garantía, que queda bloqueada en una cuenta de custodia. Simultáneamente, emite Depósitos de Crédito </w:t>
      </w:r>
      <w:proofErr w:type="spellStart"/>
      <w:r>
        <w:t>Tokenizados</w:t>
      </w:r>
      <w:proofErr w:type="spellEnd"/>
      <w:r>
        <w:t xml:space="preserve"> (DCT) por el mismo valor nominal, que serán utilizados para financiar las hipotecas.</w:t>
      </w:r>
    </w:p>
    <w:p w14:paraId="7D56EF7B" w14:textId="77777777" w:rsidR="001A54F7" w:rsidRDefault="001A54F7" w:rsidP="001A54F7">
      <w:r>
        <w:t xml:space="preserve">Detalle del Débito (Banco Hipotecario): Código de Cuenta: 1301-DP-BC. Nombre de la Cuenta: Activo - </w:t>
      </w:r>
      <w:proofErr w:type="spellStart"/>
      <w:r>
        <w:t>Criptobono</w:t>
      </w:r>
      <w:proofErr w:type="spellEnd"/>
      <w:r>
        <w:t xml:space="preserve"> NFT en Custodia (Colateral Recibido). Monto: USD 350,000,000,000.</w:t>
      </w:r>
    </w:p>
    <w:p w14:paraId="0B2E41AA" w14:textId="77777777" w:rsidR="001A54F7" w:rsidRDefault="001A54F7" w:rsidP="001A54F7">
      <w:r>
        <w:t xml:space="preserve">Detalle del Crédito (Banco Hipotecario): Código de Cuenta: 3109-H. Nombre de la Cuenta: Pasivo - Depósitos de Crédito </w:t>
      </w:r>
      <w:proofErr w:type="spellStart"/>
      <w:r>
        <w:t>Tokenizados</w:t>
      </w:r>
      <w:proofErr w:type="spellEnd"/>
      <w:r>
        <w:t xml:space="preserve"> Hipotecarios (DCT-H) Emitidos. Monto: USD 350,000,000,000.</w:t>
      </w:r>
    </w:p>
    <w:p w14:paraId="0899D387" w14:textId="77777777" w:rsidR="001A54F7" w:rsidRDefault="001A54F7" w:rsidP="001A54F7">
      <w:r>
        <w:t xml:space="preserve">Detalle del Débito (Contrato Inteligente TBAC – Constitución de Garantía): Código de Cuenta: 1109-H. Nombre de la Cuenta: Activo – TBAC en Garantía Hipotecaria (Custodia del Smart </w:t>
      </w:r>
      <w:proofErr w:type="spellStart"/>
      <w:r>
        <w:t>Contract</w:t>
      </w:r>
      <w:proofErr w:type="spellEnd"/>
      <w:r>
        <w:t>). Monto: USD 350,000,000,000.</w:t>
      </w:r>
    </w:p>
    <w:p w14:paraId="1054A16F" w14:textId="77777777" w:rsidR="001A54F7" w:rsidRDefault="001A54F7" w:rsidP="001A54F7">
      <w:r>
        <w:t>Detalle del Crédito (Contrato Inteligente TBAC – Emisión de TBAC para Garantía): Código de Cuenta: 3106-H. Nombre de la Cuenta: Capital Monetario Soberano – Emisión de Garantía TBAC Hipotecaria. Monto: USD 350,000,000,000.</w:t>
      </w:r>
    </w:p>
    <w:p w14:paraId="19C1EC6E" w14:textId="77777777" w:rsidR="001A54F7" w:rsidRDefault="001A54F7" w:rsidP="001A54F7">
      <w:r>
        <w:t xml:space="preserve">Explicación: Cada DCT hipotecario está respaldado por un </w:t>
      </w:r>
      <w:proofErr w:type="spellStart"/>
      <w:r>
        <w:t>Criptobono</w:t>
      </w:r>
      <w:proofErr w:type="spellEnd"/>
      <w:r>
        <w:t>, y simultáneamente por un TBAC bloqueado en custodia. La Fórmula B garantiza que el PIB Ajustado respalda esta emisión.</w:t>
      </w:r>
    </w:p>
    <w:p w14:paraId="3F97E7EA" w14:textId="77777777" w:rsidR="001A54F7" w:rsidRDefault="001A54F7" w:rsidP="001A54F7"/>
    <w:p w14:paraId="41A8DF70" w14:textId="77777777" w:rsidR="001A54F7" w:rsidRDefault="001A54F7" w:rsidP="001A54F7">
      <w:r>
        <w:t>---</w:t>
      </w:r>
    </w:p>
    <w:p w14:paraId="0690A6F4" w14:textId="77777777" w:rsidR="001A54F7" w:rsidRDefault="001A54F7" w:rsidP="001A54F7"/>
    <w:p w14:paraId="76619B41" w14:textId="77777777" w:rsidR="001A54F7" w:rsidRDefault="001A54F7" w:rsidP="001A54F7">
      <w:r>
        <w:t>PARTE 3: ORIGINACIÓN DEL CRÉDITO HIPOTECARIO Y TOKENIZACIÓN DE LA VIVIENDA</w:t>
      </w:r>
    </w:p>
    <w:p w14:paraId="198E0ACC" w14:textId="77777777" w:rsidR="001A54F7" w:rsidRDefault="001A54F7" w:rsidP="001A54F7"/>
    <w:p w14:paraId="7940E316" w14:textId="77777777" w:rsidR="001A54F7" w:rsidRDefault="001A54F7" w:rsidP="001A54F7">
      <w:r>
        <w:t xml:space="preserve">Asiento Número 3. Fecha: Al momento de la </w:t>
      </w:r>
      <w:proofErr w:type="spellStart"/>
      <w:r>
        <w:t>originación</w:t>
      </w:r>
      <w:proofErr w:type="spellEnd"/>
      <w:r>
        <w:t xml:space="preserve"> del crédito hipotecario. Concepto: Aprobación y Desembolso del Crédito Hipotecario </w:t>
      </w:r>
      <w:proofErr w:type="spellStart"/>
      <w:r>
        <w:t>Tokenizado</w:t>
      </w:r>
      <w:proofErr w:type="spellEnd"/>
      <w:r>
        <w:t xml:space="preserve"> con Captura del Spread de </w:t>
      </w:r>
      <w:proofErr w:type="spellStart"/>
      <w:r>
        <w:t>Originación</w:t>
      </w:r>
      <w:proofErr w:type="spellEnd"/>
      <w:r>
        <w:t>.</w:t>
      </w:r>
    </w:p>
    <w:p w14:paraId="4954BEEC" w14:textId="77777777" w:rsidR="001A54F7" w:rsidRDefault="001A54F7" w:rsidP="001A54F7">
      <w:r>
        <w:t>Referencia: Documento 7 (CIDA-R), Sección de Gobernanza y Participación. Documento 1 (Sistema de Gobierno Confederado), Sección de Derechos Ciudadanos. Protocolo de Garantía Soberana.</w:t>
      </w:r>
    </w:p>
    <w:p w14:paraId="532D4E5B" w14:textId="77777777" w:rsidR="001A54F7" w:rsidRDefault="001A54F7" w:rsidP="001A54F7">
      <w:r>
        <w:t xml:space="preserve">Descripción: Un ciudadano solicita un crédito hipotecario para la compra o construcción de una vivienda. El banco, utilizando los DCT-H como fondo de reserva, aprueba y desembolsa el crédito. En el momento del desembolso, se captura un spread de </w:t>
      </w:r>
      <w:proofErr w:type="spellStart"/>
      <w:r>
        <w:t>originación</w:t>
      </w:r>
      <w:proofErr w:type="spellEnd"/>
      <w:r>
        <w:t xml:space="preserve"> (por ejemplo, un 1% del monto total del crédito), que se divide entre el banco y el Fondo Soberano de Liquidación de Deuda (FSLD). Simultáneamente, el título de propiedad de la vivienda y la hipoteca se </w:t>
      </w:r>
      <w:proofErr w:type="spellStart"/>
      <w:r>
        <w:t>tokenizan</w:t>
      </w:r>
      <w:proofErr w:type="spellEnd"/>
      <w:r>
        <w:t xml:space="preserve"> como </w:t>
      </w:r>
      <w:proofErr w:type="spellStart"/>
      <w:r>
        <w:t>Criptoactivos</w:t>
      </w:r>
      <w:proofErr w:type="spellEnd"/>
      <w:r>
        <w:t xml:space="preserve"> de Vivienda </w:t>
      </w:r>
      <w:proofErr w:type="spellStart"/>
      <w:r>
        <w:t>Tokenizada</w:t>
      </w:r>
      <w:proofErr w:type="spellEnd"/>
      <w:r>
        <w:t xml:space="preserve"> (CVT) y </w:t>
      </w:r>
      <w:proofErr w:type="spellStart"/>
      <w:r>
        <w:t>Cripto</w:t>
      </w:r>
      <w:proofErr w:type="spellEnd"/>
      <w:r>
        <w:rPr>
          <w:rFonts w:ascii="Roboto" w:hAnsi="Roboto" w:cs="Roboto"/>
        </w:rPr>
        <w:t>‑</w:t>
      </w:r>
      <w:r>
        <w:t>Hipotecas (CHT).</w:t>
      </w:r>
    </w:p>
    <w:p w14:paraId="0C23E51C" w14:textId="77777777" w:rsidR="001A54F7" w:rsidRDefault="001A54F7" w:rsidP="001A54F7">
      <w:r>
        <w:t>Detalle del Débito (Banco – Desembolso del Crédito): Código de Cuenta: 1208. Nombre de la Cuenta: Activo - Préstamos Hipotecarios Respaldados por DCT-H (Cuentas por Cobrar a Ciudadanos). Monto: Monto Total del Crédito (Ej. USD 200,000 por vivienda, acumulado a USD 350,000,000,000 diarios).</w:t>
      </w:r>
    </w:p>
    <w:p w14:paraId="581913CD" w14:textId="77777777" w:rsidR="001A54F7" w:rsidRDefault="001A54F7" w:rsidP="001A54F7">
      <w:r>
        <w:t xml:space="preserve">Detalle del Crédito (Banco – Utilización del DCT-H para Pago al Constructor/Vendedor): Código de Cuenta: 3109-H. Nombre de la Cuenta: Pasivo – Depósitos de Crédito </w:t>
      </w:r>
      <w:proofErr w:type="spellStart"/>
      <w:r>
        <w:t>Tokenizados</w:t>
      </w:r>
      <w:proofErr w:type="spellEnd"/>
      <w:r>
        <w:t xml:space="preserve"> Hipotecarios (DCT-H) Emitidos. Monto: Monto Total del Crédito.</w:t>
      </w:r>
    </w:p>
    <w:p w14:paraId="551974E4" w14:textId="77777777" w:rsidR="001A54F7" w:rsidRDefault="001A54F7" w:rsidP="001A54F7">
      <w:r>
        <w:t xml:space="preserve">Detalle del Débito (Ciudadano – Constitución del Colateral): Código de Cuenta: 1302-CVT. Nombre de la Cuenta: Activo – </w:t>
      </w:r>
      <w:proofErr w:type="spellStart"/>
      <w:r>
        <w:t>Criptoactivo</w:t>
      </w:r>
      <w:proofErr w:type="spellEnd"/>
      <w:r>
        <w:t xml:space="preserve"> de Vivienda </w:t>
      </w:r>
      <w:proofErr w:type="spellStart"/>
      <w:r>
        <w:t>Tokenizada</w:t>
      </w:r>
      <w:proofErr w:type="spellEnd"/>
      <w:r>
        <w:t xml:space="preserve"> (Título de Propiedad en Custodia del Smart </w:t>
      </w:r>
      <w:proofErr w:type="spellStart"/>
      <w:r>
        <w:t>Contract</w:t>
      </w:r>
      <w:proofErr w:type="spellEnd"/>
      <w:r>
        <w:t>). Monto: Valor de la Vivienda.</w:t>
      </w:r>
    </w:p>
    <w:p w14:paraId="4CA62B5D" w14:textId="77777777" w:rsidR="001A54F7" w:rsidRDefault="001A54F7" w:rsidP="001A54F7">
      <w:r>
        <w:t xml:space="preserve">Detalle del Crédito (Ciudadano – Obligación Hipotecaria): Código de Cuenta: 2201-CHT. Nombre de la Cuenta: Pasivo – </w:t>
      </w:r>
      <w:proofErr w:type="spellStart"/>
      <w:r>
        <w:t>Cripto</w:t>
      </w:r>
      <w:proofErr w:type="spellEnd"/>
      <w:r>
        <w:rPr>
          <w:rFonts w:ascii="Roboto" w:hAnsi="Roboto" w:cs="Roboto"/>
        </w:rPr>
        <w:t>‑</w:t>
      </w:r>
      <w:r>
        <w:t xml:space="preserve">Hipoteca </w:t>
      </w:r>
      <w:proofErr w:type="spellStart"/>
      <w:r>
        <w:t>Tokenizada</w:t>
      </w:r>
      <w:proofErr w:type="spellEnd"/>
      <w:r>
        <w:t xml:space="preserve"> (Obligación del Ciudadano). Monto: Valor de la Vivienda.</w:t>
      </w:r>
    </w:p>
    <w:p w14:paraId="1DDA7524" w14:textId="77777777" w:rsidR="001A54F7" w:rsidRDefault="001A54F7" w:rsidP="001A54F7">
      <w:r>
        <w:t xml:space="preserve">Detalle del Débito (Captura del Spread de </w:t>
      </w:r>
      <w:proofErr w:type="spellStart"/>
      <w:r>
        <w:t>Originación</w:t>
      </w:r>
      <w:proofErr w:type="spellEnd"/>
      <w:r>
        <w:t xml:space="preserve"> – Reducción del DCT para el FSLD): Código de Cuenta: 3109-H. Nombre de la Cuenta: Pasivo – Depósitos de Crédito </w:t>
      </w:r>
      <w:proofErr w:type="spellStart"/>
      <w:r>
        <w:t>Tokenizados</w:t>
      </w:r>
      <w:proofErr w:type="spellEnd"/>
      <w:r>
        <w:t xml:space="preserve"> Hipotecarios (DCT-H) Emitidos. Monto: Spread de </w:t>
      </w:r>
      <w:proofErr w:type="spellStart"/>
      <w:r>
        <w:t>Originación</w:t>
      </w:r>
      <w:proofErr w:type="spellEnd"/>
      <w:r>
        <w:t xml:space="preserve"> (1% del monto del crédito).</w:t>
      </w:r>
    </w:p>
    <w:p w14:paraId="60CC9E33" w14:textId="77777777" w:rsidR="001A54F7" w:rsidRDefault="001A54F7" w:rsidP="001A54F7">
      <w:r>
        <w:t xml:space="preserve">Detalle del Crédito (Banco – Ingreso por Servicio): Código de Cuenta: 4205. Nombre de la Cuenta: Ingreso por Comisiones de </w:t>
      </w:r>
      <w:proofErr w:type="spellStart"/>
      <w:r>
        <w:t>Originación</w:t>
      </w:r>
      <w:proofErr w:type="spellEnd"/>
      <w:r>
        <w:t xml:space="preserve"> Hipotecaria. Monto: 0.5% del monto del crédito (Porción del Banco).</w:t>
      </w:r>
    </w:p>
    <w:p w14:paraId="24DDE63E" w14:textId="77777777" w:rsidR="001A54F7" w:rsidRDefault="001A54F7" w:rsidP="001A54F7">
      <w:r>
        <w:t>Detalle del Crédito (Sistema – FSLD): Código de Cuenta: 3113. Nombre de la Cuenta: Pasivo – Fondo Soberano de Liquidación de Deuda (FSLD). Monto: 0.5% del monto del crédito (Porción del Tesoro).</w:t>
      </w:r>
    </w:p>
    <w:p w14:paraId="6FD69896" w14:textId="77777777" w:rsidR="001A54F7" w:rsidRDefault="001A54F7" w:rsidP="001A54F7"/>
    <w:p w14:paraId="16A897F3" w14:textId="77777777" w:rsidR="001A54F7" w:rsidRDefault="001A54F7" w:rsidP="001A54F7">
      <w:r>
        <w:t>---</w:t>
      </w:r>
    </w:p>
    <w:p w14:paraId="5CD9F6A7" w14:textId="77777777" w:rsidR="001A54F7" w:rsidRDefault="001A54F7" w:rsidP="001A54F7"/>
    <w:p w14:paraId="30D85968" w14:textId="77777777" w:rsidR="001A54F7" w:rsidRDefault="001A54F7" w:rsidP="001A54F7">
      <w:r>
        <w:t>PARTE 4: PAGO DE CUOTAS HIPOTECARIAS Y CAPTURA DE SPREADS MENSUALES</w:t>
      </w:r>
    </w:p>
    <w:p w14:paraId="76EAC478" w14:textId="77777777" w:rsidR="001A54F7" w:rsidRDefault="001A54F7" w:rsidP="001A54F7"/>
    <w:p w14:paraId="278019B2" w14:textId="77777777" w:rsidR="001A54F7" w:rsidRDefault="001A54F7" w:rsidP="001A54F7">
      <w:r>
        <w:t>Asiento Número 4. Fecha: Mensual (Cada vez que el ciudadano paga su cuota hipotecaria). Concepto: Pago de la Cuota Hipotecaria con Captura del Spread Mensual para el FSLD.</w:t>
      </w:r>
    </w:p>
    <w:p w14:paraId="78667CEE" w14:textId="77777777" w:rsidR="001A54F7" w:rsidRDefault="001A54F7" w:rsidP="001A54F7">
      <w:r>
        <w:t>Referencia: Documento 9 (TBAC), Sección de Relación con Monedas Fiat. Protocolo de Garantía Soberana.</w:t>
      </w:r>
    </w:p>
    <w:p w14:paraId="0ED3AA4E" w14:textId="77777777" w:rsidR="001A54F7" w:rsidRDefault="001A54F7" w:rsidP="001A54F7">
      <w:r>
        <w:t xml:space="preserve">Descripción: Cada mes, el ciudadano paga la cuota de su hipoteca utilizando dinero </w:t>
      </w:r>
      <w:proofErr w:type="spellStart"/>
      <w:r>
        <w:t>fiat</w:t>
      </w:r>
      <w:proofErr w:type="spellEnd"/>
      <w:r>
        <w:t xml:space="preserve"> (proveniente de su salario). El banco recibe el pago, que se compone de capital e intereses. De la porción de intereses, se descuenta un spread mensual que se canaliza al FSLD. Simultáneamente, el DCT-H se restaura parcialmente por el capital amortizado, y la garantía TBAC asociada al capital pagado se libera.</w:t>
      </w:r>
    </w:p>
    <w:p w14:paraId="69391EEB" w14:textId="77777777" w:rsidR="001A54F7" w:rsidRDefault="001A54F7" w:rsidP="001A54F7">
      <w:r>
        <w:t>Detalle del Débito (Banco – Recepción del Pago Fiat): Código de Cuenta: 1101. Nombre de la Cuenta: Efectivo y Equivalentes (Recaudación Fiat de Hipotecas). Monto: Monto Total de la Cuota.</w:t>
      </w:r>
    </w:p>
    <w:p w14:paraId="4F63FA22" w14:textId="77777777" w:rsidR="001A54F7" w:rsidRDefault="001A54F7" w:rsidP="001A54F7">
      <w:r>
        <w:t>Detalle del Crédito (Banco – Amortización del Capital): Código de Cuenta: 1208. Nombre de la Cuenta: Activo - Préstamos Hipotecarios Respaldados por DCT-H. Monto: Porción de Capital.</w:t>
      </w:r>
    </w:p>
    <w:p w14:paraId="497FBF3F" w14:textId="77777777" w:rsidR="001A54F7" w:rsidRDefault="001A54F7" w:rsidP="001A54F7">
      <w:r>
        <w:t>Detalle del Crédito (Banco – Ingreso por Intereses): Código de Cuenta: 4206. Nombre de la Cuenta: Ingreso por Intereses Hipotecarios. Monto: Porción de Intereses para el Banco.</w:t>
      </w:r>
    </w:p>
    <w:p w14:paraId="44D8A602" w14:textId="77777777" w:rsidR="001A54F7" w:rsidRDefault="001A54F7" w:rsidP="001A54F7">
      <w:r>
        <w:t>Detalle del Crédito (Sistema – FSLD): Código de Cuenta: 3113. Nombre de la Cuenta: Pasivo – Fondo Soberano de Liquidación de Deuda (FSLD). Monto: Porción de Intereses para el Tesoro (Spread Mensual).</w:t>
      </w:r>
    </w:p>
    <w:p w14:paraId="46657790" w14:textId="77777777" w:rsidR="001A54F7" w:rsidRDefault="001A54F7" w:rsidP="001A54F7">
      <w:r>
        <w:t xml:space="preserve">Detalle del Crédito (Banco – Restauración del DCT-H): Código de Cuenta: 3109-H. Nombre de la Cuenta: Pasivo – Depósitos de Crédito </w:t>
      </w:r>
      <w:proofErr w:type="spellStart"/>
      <w:r>
        <w:t>Tokenizados</w:t>
      </w:r>
      <w:proofErr w:type="spellEnd"/>
      <w:r>
        <w:t xml:space="preserve"> Hipotecarios (DCT-H) Emitidos. Monto: Porción de Capital.</w:t>
      </w:r>
    </w:p>
    <w:p w14:paraId="3DA8AB2D" w14:textId="77777777" w:rsidR="001A54F7" w:rsidRDefault="001A54F7" w:rsidP="001A54F7">
      <w:r>
        <w:t>Detalle del Débito (Liberación de la Garantía TBAC Proporcional al Capital Pagado): Código de Cuenta: 3106-H. Nombre de la Cuenta: Capital Monetario Soberano – Emisión de Garantía TBAC Hipotecaria. Monto: Porción de Capital Pagado.</w:t>
      </w:r>
    </w:p>
    <w:p w14:paraId="0ABBAB5A" w14:textId="77777777" w:rsidR="001A54F7" w:rsidRDefault="001A54F7" w:rsidP="001A54F7">
      <w:r>
        <w:t xml:space="preserve">Detalle del Crédito (Liberación de la Garantía TBAC): Código de Cuenta: 1109-H. Nombre de la Cuenta: Activo – TBAC en Garantía Hipotecaria (Custodia del Smart </w:t>
      </w:r>
      <w:proofErr w:type="spellStart"/>
      <w:r>
        <w:t>Contract</w:t>
      </w:r>
      <w:proofErr w:type="spellEnd"/>
      <w:r>
        <w:t>). Monto: Porción de Capital Pagado.</w:t>
      </w:r>
    </w:p>
    <w:p w14:paraId="5CA9528B" w14:textId="77777777" w:rsidR="001A54F7" w:rsidRDefault="001A54F7" w:rsidP="001A54F7">
      <w:r>
        <w:t>Explicación: La porción de intereses destinada al FSLD es flujo puro para la liquidación de deuda pública. La liberación de la garantía TBAC por el capital amortizado refleja la reducción del riesgo del sistema y la extinción gradual del pasivo contingente.</w:t>
      </w:r>
    </w:p>
    <w:p w14:paraId="66D076D6" w14:textId="77777777" w:rsidR="001A54F7" w:rsidRDefault="001A54F7" w:rsidP="001A54F7"/>
    <w:p w14:paraId="666BCF80" w14:textId="77777777" w:rsidR="001A54F7" w:rsidRDefault="001A54F7" w:rsidP="001A54F7">
      <w:r>
        <w:t>---</w:t>
      </w:r>
    </w:p>
    <w:p w14:paraId="51044095" w14:textId="77777777" w:rsidR="001A54F7" w:rsidRDefault="001A54F7" w:rsidP="001A54F7"/>
    <w:p w14:paraId="2B2E813A" w14:textId="77777777" w:rsidR="001A54F7" w:rsidRDefault="001A54F7" w:rsidP="001A54F7">
      <w:r>
        <w:t>PARTE 5: CIERRE DEL CICLO: LIQUIDACIÓN AUTÓNOMA DE LA DEUDA PÚBLICA CON LOS SPREADS HIPOTECARIOS ACUMULADOS EN EL FSLD</w:t>
      </w:r>
    </w:p>
    <w:p w14:paraId="32205388" w14:textId="77777777" w:rsidR="001A54F7" w:rsidRDefault="001A54F7" w:rsidP="001A54F7"/>
    <w:p w14:paraId="1D314A7F" w14:textId="77777777" w:rsidR="001A54F7" w:rsidRDefault="001A54F7" w:rsidP="001A54F7">
      <w:r>
        <w:t>Asiento Número 5. Fecha: Diaria (Ejecutado con los saldos acumulados en el FSLD). Concepto: Liquidación Automática de Deuda Pública con Fondos del FSLD Provenientes de los Spreads Hipotecarios y de Vivienda.</w:t>
      </w:r>
    </w:p>
    <w:p w14:paraId="0703A58F" w14:textId="77777777" w:rsidR="001A54F7" w:rsidRDefault="001A54F7" w:rsidP="001A54F7">
      <w:r>
        <w:t>Referencia: Documento de Aplicación a EE.UU., Sección 9.2 (BCAS). Protocolo de Garantía Soberana.</w:t>
      </w:r>
    </w:p>
    <w:p w14:paraId="31F31400" w14:textId="77777777" w:rsidR="001A54F7" w:rsidRDefault="001A54F7" w:rsidP="001A54F7">
      <w:r>
        <w:t xml:space="preserve">Descripción: El Smart </w:t>
      </w:r>
      <w:proofErr w:type="spellStart"/>
      <w:r>
        <w:t>Contract</w:t>
      </w:r>
      <w:proofErr w:type="spellEnd"/>
      <w:r>
        <w:t xml:space="preserve"> del TBAC utiliza el saldo acumulado en el FSLD (alimentado por los spreads de </w:t>
      </w:r>
      <w:proofErr w:type="spellStart"/>
      <w:r>
        <w:t>originación</w:t>
      </w:r>
      <w:proofErr w:type="spellEnd"/>
      <w:r>
        <w:t xml:space="preserve">, los spreads mensuales de las hipotecas, y los spreads de las otras fuentes del ecosistema) para recomprar y extinguir una porción del </w:t>
      </w:r>
      <w:proofErr w:type="spellStart"/>
      <w:r>
        <w:t>Criptobono</w:t>
      </w:r>
      <w:proofErr w:type="spellEnd"/>
      <w:r>
        <w:t xml:space="preserve"> de Deuda Pública. Simultáneamente, se libera y quema una cantidad equivalente de TBAC en Garantía Hipotecaria, ajustando la masa monetaria.</w:t>
      </w:r>
    </w:p>
    <w:p w14:paraId="55530E8D" w14:textId="77777777" w:rsidR="001A54F7" w:rsidRDefault="001A54F7" w:rsidP="001A54F7">
      <w:r>
        <w:t xml:space="preserve">Detalle del Débito (Extinción de Deuda): Código de Cuenta: 2101. Nombre de la Cuenta: Deuda Pública Federal (Pasivo Exigible – Saldo </w:t>
      </w:r>
      <w:proofErr w:type="spellStart"/>
      <w:r>
        <w:t>Tokenizado</w:t>
      </w:r>
      <w:proofErr w:type="spellEnd"/>
      <w:r>
        <w:t>). Monto: Saldo Disponible en el FSLD al momento de la ejecución diaria (Monto X).</w:t>
      </w:r>
    </w:p>
    <w:p w14:paraId="6E622D28" w14:textId="77777777" w:rsidR="001A54F7" w:rsidRDefault="001A54F7" w:rsidP="001A54F7">
      <w:r>
        <w:t>Detalle del Crédito (Utilización del FSLD): Código de Cuenta: 3113. Nombre de la Cuenta: Pasivo – Fondo Soberano de Liquidación de Deuda (FSLD). Monto: Saldo Disponible en el FSLD (Monto X).</w:t>
      </w:r>
    </w:p>
    <w:p w14:paraId="476B53FD" w14:textId="77777777" w:rsidR="001A54F7" w:rsidRDefault="001A54F7" w:rsidP="001A54F7">
      <w:r>
        <w:t xml:space="preserve">Detalle del Débito (Cancelación del Activo – Quema del </w:t>
      </w:r>
      <w:proofErr w:type="spellStart"/>
      <w:r>
        <w:t>Criptobono</w:t>
      </w:r>
      <w:proofErr w:type="spellEnd"/>
      <w:r>
        <w:t xml:space="preserve">): Código de Cuenta: 2105. Nombre de la Cuenta: Pasivo Contingente por </w:t>
      </w:r>
      <w:proofErr w:type="spellStart"/>
      <w:r>
        <w:t>Tokenización</w:t>
      </w:r>
      <w:proofErr w:type="spellEnd"/>
      <w:r>
        <w:t xml:space="preserve"> de Pasivos Históricos USA. Monto: Monto X.</w:t>
      </w:r>
    </w:p>
    <w:p w14:paraId="7B81DF82" w14:textId="77777777" w:rsidR="001A54F7" w:rsidRDefault="001A54F7" w:rsidP="001A54F7">
      <w:r>
        <w:t xml:space="preserve">Detalle del Crédito (Cancelación del Activo – Quema del </w:t>
      </w:r>
      <w:proofErr w:type="spellStart"/>
      <w:r>
        <w:t>Criptobono</w:t>
      </w:r>
      <w:proofErr w:type="spellEnd"/>
      <w:r>
        <w:t xml:space="preserve">): Código de Cuenta: 1301-DP. Nombre de la Cuenta: Activo - </w:t>
      </w:r>
      <w:proofErr w:type="spellStart"/>
      <w:r>
        <w:t>Criptobono</w:t>
      </w:r>
      <w:proofErr w:type="spellEnd"/>
      <w:r>
        <w:t xml:space="preserve"> NFT Deuda Pública (Cartera Colateral). Monto: Monto X.</w:t>
      </w:r>
    </w:p>
    <w:p w14:paraId="40686CD2" w14:textId="77777777" w:rsidR="001A54F7" w:rsidRDefault="001A54F7" w:rsidP="001A54F7">
      <w:r>
        <w:t>Detalle del Débito (Liberación y Quema de la Garantía TBAC Hipotecaria): Código de Cuenta: 3106-H. Nombre de la Cuenta: Capital Monetario Soberano – Emisión de Garantía TBAC Hipotecaria. Monto: Monto X.</w:t>
      </w:r>
    </w:p>
    <w:p w14:paraId="01239207" w14:textId="77777777" w:rsidR="001A54F7" w:rsidRDefault="001A54F7" w:rsidP="001A54F7">
      <w:r>
        <w:t xml:space="preserve">Detalle del Crédito (Liberación y Quema de la Garantía TBAC Hipotecaria): Código de Cuenta: 1109-H. Nombre de la Cuenta: Activo – TBAC en Garantía Hipotecaria (Custodia del Smart </w:t>
      </w:r>
      <w:proofErr w:type="spellStart"/>
      <w:r>
        <w:t>Contract</w:t>
      </w:r>
      <w:proofErr w:type="spellEnd"/>
      <w:r>
        <w:t>). Monto: Monto X.</w:t>
      </w:r>
    </w:p>
    <w:p w14:paraId="4CA5D2EF" w14:textId="77777777" w:rsidR="001A54F7" w:rsidRDefault="001A54F7" w:rsidP="001A54F7"/>
    <w:p w14:paraId="109A041A" w14:textId="77777777" w:rsidR="001A54F7" w:rsidRDefault="001A54F7" w:rsidP="001A54F7">
      <w:r>
        <w:t>---</w:t>
      </w:r>
    </w:p>
    <w:p w14:paraId="7F9C2040" w14:textId="77777777" w:rsidR="001A54F7" w:rsidRDefault="001A54F7" w:rsidP="001A54F7"/>
    <w:p w14:paraId="238E2A0B" w14:textId="77777777" w:rsidR="001A54F7" w:rsidRDefault="001A54F7" w:rsidP="001A54F7">
      <w:r>
        <w:t>SECCIÓN II: LIBRO MAYOR CONSOLIDADO DE LA RED CANTON (RESUMEN DE CUENTAS DEL BUCLE HIPOTECARIO Y DE VIVIENDA)</w:t>
      </w:r>
    </w:p>
    <w:p w14:paraId="1FEFA5F7" w14:textId="77777777" w:rsidR="001A54F7" w:rsidRDefault="001A54F7" w:rsidP="001A54F7"/>
    <w:p w14:paraId="47BEB086" w14:textId="77777777" w:rsidR="001A54F7" w:rsidRDefault="001A54F7" w:rsidP="001A54F7">
      <w:r>
        <w:t xml:space="preserve">Cuenta 1109-H – Activo – TBAC en Garantía Hipotecaria (Custodia del Smart </w:t>
      </w:r>
      <w:proofErr w:type="spellStart"/>
      <w:r>
        <w:t>Contract</w:t>
      </w:r>
      <w:proofErr w:type="spellEnd"/>
      <w:r>
        <w:t>).</w:t>
      </w:r>
    </w:p>
    <w:p w14:paraId="7986DC91" w14:textId="77777777" w:rsidR="001A54F7" w:rsidRDefault="001A54F7" w:rsidP="001A54F7">
      <w:r>
        <w:t>Saldo Inicial: USD 0.</w:t>
      </w:r>
    </w:p>
    <w:p w14:paraId="45C8A95A" w14:textId="77777777" w:rsidR="001A54F7" w:rsidRDefault="001A54F7" w:rsidP="001A54F7">
      <w:r>
        <w:t>Movimientos Débito: Asiento 2 (Constitución de Garantía): Monto variable según emisión de DCT-H.</w:t>
      </w:r>
    </w:p>
    <w:p w14:paraId="3E15B325" w14:textId="77777777" w:rsidR="001A54F7" w:rsidRDefault="001A54F7" w:rsidP="001A54F7">
      <w:r>
        <w:t>Movimientos Crédito: Asiento 4 (Liberación por amortización de capital) y Asiento 5 (Liberación por liquidación de deuda).</w:t>
      </w:r>
    </w:p>
    <w:p w14:paraId="618656ED" w14:textId="77777777" w:rsidR="001A54F7" w:rsidRDefault="001A54F7" w:rsidP="001A54F7">
      <w:r>
        <w:t>Saldo Final: USD 0. Toda la garantía TBAC hipotecaria ha sido liberada y quemada al extinguirse la deuda subyacente.</w:t>
      </w:r>
    </w:p>
    <w:p w14:paraId="79C19CAF" w14:textId="77777777" w:rsidR="001A54F7" w:rsidRDefault="001A54F7" w:rsidP="001A54F7"/>
    <w:p w14:paraId="13A4D692" w14:textId="77777777" w:rsidR="001A54F7" w:rsidRDefault="001A54F7" w:rsidP="001A54F7">
      <w:r>
        <w:t>Cuenta 3106-H – Capital Monetario Soberano – Emisión de Garantía TBAC Hipotecaria.</w:t>
      </w:r>
    </w:p>
    <w:p w14:paraId="35C84F38" w14:textId="77777777" w:rsidR="001A54F7" w:rsidRDefault="001A54F7" w:rsidP="001A54F7">
      <w:r>
        <w:t>Saldo Inicial: USD 0.</w:t>
      </w:r>
    </w:p>
    <w:p w14:paraId="6093E950" w14:textId="77777777" w:rsidR="001A54F7" w:rsidRDefault="001A54F7" w:rsidP="001A54F7">
      <w:r>
        <w:t>Movimientos Crédito: Asiento 2 (Emisión para Garantía).</w:t>
      </w:r>
    </w:p>
    <w:p w14:paraId="256A9754" w14:textId="77777777" w:rsidR="001A54F7" w:rsidRDefault="001A54F7" w:rsidP="001A54F7">
      <w:r>
        <w:t>Movimientos Débito: Asiento 4 (Liberación por amortización) y Asiento 5 (Quema de Garantía).</w:t>
      </w:r>
    </w:p>
    <w:p w14:paraId="053C2F43" w14:textId="77777777" w:rsidR="001A54F7" w:rsidRDefault="001A54F7" w:rsidP="001A54F7">
      <w:r>
        <w:t>Saldo Final: USD 0. La emisión de TBAC para garantía hipotecaria ha sido completamente neutralizada.</w:t>
      </w:r>
    </w:p>
    <w:p w14:paraId="70EDC43A" w14:textId="77777777" w:rsidR="001A54F7" w:rsidRDefault="001A54F7" w:rsidP="001A54F7"/>
    <w:p w14:paraId="6C8DC952" w14:textId="77777777" w:rsidR="001A54F7" w:rsidRDefault="001A54F7" w:rsidP="001A54F7">
      <w:r>
        <w:t xml:space="preserve">Cuenta 3109-H – Pasivo – Depósitos de Crédito </w:t>
      </w:r>
      <w:proofErr w:type="spellStart"/>
      <w:r>
        <w:t>Tokenizados</w:t>
      </w:r>
      <w:proofErr w:type="spellEnd"/>
      <w:r>
        <w:t xml:space="preserve"> Hipotecarios (DCT-H) Emitidos.</w:t>
      </w:r>
    </w:p>
    <w:p w14:paraId="1671507E" w14:textId="77777777" w:rsidR="001A54F7" w:rsidRDefault="001A54F7" w:rsidP="001A54F7">
      <w:r>
        <w:t>Saldo Inicial: USD 0.</w:t>
      </w:r>
    </w:p>
    <w:p w14:paraId="1429B570" w14:textId="77777777" w:rsidR="001A54F7" w:rsidRDefault="001A54F7" w:rsidP="001A54F7">
      <w:r>
        <w:t>Movimientos Crédito: Asiento 2 (Emisión por bancos). Asiento 4 (Restauración por pagos de capital).</w:t>
      </w:r>
    </w:p>
    <w:p w14:paraId="1F223DFD" w14:textId="77777777" w:rsidR="001A54F7" w:rsidRDefault="001A54F7" w:rsidP="001A54F7">
      <w:r>
        <w:t xml:space="preserve">Movimientos Débito: Asiento 3 (Desembolso de créditos y spread de </w:t>
      </w:r>
      <w:proofErr w:type="spellStart"/>
      <w:r>
        <w:t>originación</w:t>
      </w:r>
      <w:proofErr w:type="spellEnd"/>
      <w:r>
        <w:t>).</w:t>
      </w:r>
    </w:p>
    <w:p w14:paraId="7FB0E481" w14:textId="77777777" w:rsidR="001A54F7" w:rsidRDefault="001A54F7" w:rsidP="001A54F7">
      <w:r>
        <w:t>Saldo Final: USD 0. El sistema hipotecario se ha cerrado sin desequilibrios.</w:t>
      </w:r>
    </w:p>
    <w:p w14:paraId="403B21A6" w14:textId="77777777" w:rsidR="001A54F7" w:rsidRDefault="001A54F7" w:rsidP="001A54F7"/>
    <w:p w14:paraId="3786AFA7" w14:textId="77777777" w:rsidR="001A54F7" w:rsidRDefault="001A54F7" w:rsidP="001A54F7">
      <w:r>
        <w:t>Cuenta 1208 – Activo - Préstamos Hipotecarios Respaldados por DCT-H.</w:t>
      </w:r>
    </w:p>
    <w:p w14:paraId="450D650C" w14:textId="77777777" w:rsidR="001A54F7" w:rsidRDefault="001A54F7" w:rsidP="001A54F7">
      <w:r>
        <w:t>Saldo Inicial: USD 0.</w:t>
      </w:r>
    </w:p>
    <w:p w14:paraId="2DEA4CDC" w14:textId="77777777" w:rsidR="001A54F7" w:rsidRDefault="001A54F7" w:rsidP="001A54F7">
      <w:r>
        <w:t>Movimientos Débito: Asiento 3 (Préstamos originados).</w:t>
      </w:r>
    </w:p>
    <w:p w14:paraId="1093630D" w14:textId="77777777" w:rsidR="001A54F7" w:rsidRDefault="001A54F7" w:rsidP="001A54F7">
      <w:r>
        <w:t>Movimientos Crédito: Asiento 4 (Amortización de capital por pagos).</w:t>
      </w:r>
    </w:p>
    <w:p w14:paraId="014B9602" w14:textId="77777777" w:rsidR="001A54F7" w:rsidRDefault="001A54F7" w:rsidP="001A54F7">
      <w:r>
        <w:t>Saldo Final: USD 0. Todos los préstamos hipotecarios han sido pagados o liquidados.</w:t>
      </w:r>
    </w:p>
    <w:p w14:paraId="4BC68B9D" w14:textId="77777777" w:rsidR="001A54F7" w:rsidRDefault="001A54F7" w:rsidP="001A54F7"/>
    <w:p w14:paraId="1AE6EB6B" w14:textId="77777777" w:rsidR="001A54F7" w:rsidRDefault="001A54F7" w:rsidP="001A54F7">
      <w:r>
        <w:t>Cuenta 3113 – Pasivo – Fondo Soberano de Liquidación de Deuda (FSLD).</w:t>
      </w:r>
    </w:p>
    <w:p w14:paraId="27E21D99" w14:textId="77777777" w:rsidR="001A54F7" w:rsidRDefault="001A54F7" w:rsidP="001A54F7">
      <w:r>
        <w:t>Saldo Inicial: USD 0.</w:t>
      </w:r>
    </w:p>
    <w:p w14:paraId="28963320" w14:textId="77777777" w:rsidR="001A54F7" w:rsidRDefault="001A54F7" w:rsidP="001A54F7">
      <w:r>
        <w:t xml:space="preserve">Movimientos Crédito: Asiento 3 (Spreads de </w:t>
      </w:r>
      <w:proofErr w:type="spellStart"/>
      <w:r>
        <w:t>originación</w:t>
      </w:r>
      <w:proofErr w:type="spellEnd"/>
      <w:r>
        <w:t>), Asiento 4 (Spreads mensuales de cuotas), y los provenientes de las otras fuentes del ecosistema (</w:t>
      </w:r>
      <w:proofErr w:type="spellStart"/>
      <w:r>
        <w:t>Criptobonos</w:t>
      </w:r>
      <w:proofErr w:type="spellEnd"/>
      <w:r>
        <w:t>, CIDA</w:t>
      </w:r>
      <w:r>
        <w:rPr>
          <w:rFonts w:ascii="Roboto" w:hAnsi="Roboto" w:cs="Roboto"/>
        </w:rPr>
        <w:t>‑</w:t>
      </w:r>
      <w:r>
        <w:t>R, Tarjetas, Seguros).</w:t>
      </w:r>
    </w:p>
    <w:p w14:paraId="25342379" w14:textId="77777777" w:rsidR="001A54F7" w:rsidRDefault="001A54F7" w:rsidP="001A54F7">
      <w:r>
        <w:t>Movimientos Débito: Asiento 5 (Uso para Recompra de Deuda).</w:t>
      </w:r>
    </w:p>
    <w:p w14:paraId="5C41B26C" w14:textId="77777777" w:rsidR="001A54F7" w:rsidRDefault="001A54F7" w:rsidP="001A54F7">
      <w:r>
        <w:t>Saldo Final: Flujo constante; se acumula y se gasta diariamente.</w:t>
      </w:r>
    </w:p>
    <w:p w14:paraId="5F66AE6D" w14:textId="77777777" w:rsidR="001A54F7" w:rsidRDefault="001A54F7" w:rsidP="001A54F7"/>
    <w:p w14:paraId="013E7999" w14:textId="77777777" w:rsidR="001A54F7" w:rsidRDefault="001A54F7" w:rsidP="001A54F7">
      <w:r>
        <w:t>Cuenta 2101 – Deuda Pública Federal (Pasivo Exigible).</w:t>
      </w:r>
    </w:p>
    <w:p w14:paraId="54CB8892" w14:textId="77777777" w:rsidR="001A54F7" w:rsidRDefault="001A54F7" w:rsidP="001A54F7">
      <w:r>
        <w:t>Saldo Inicial: USD 39,000,000,000,000.</w:t>
      </w:r>
    </w:p>
    <w:p w14:paraId="1F432667" w14:textId="77777777" w:rsidR="001A54F7" w:rsidRDefault="001A54F7" w:rsidP="001A54F7">
      <w:r>
        <w:t>Movimientos Débito: Asiento 5 (Liquidación Diaria Autónoma).</w:t>
      </w:r>
    </w:p>
    <w:p w14:paraId="6E2508CB" w14:textId="77777777" w:rsidR="001A54F7" w:rsidRDefault="001A54F7" w:rsidP="001A54F7">
      <w:r>
        <w:t>Saldo Final: USD 0. La deuda ha sido liquidada sin desembolso del Tesoro.</w:t>
      </w:r>
    </w:p>
    <w:p w14:paraId="1DCF499C" w14:textId="77777777" w:rsidR="001A54F7" w:rsidRDefault="001A54F7" w:rsidP="001A54F7"/>
    <w:p w14:paraId="3447B4DF" w14:textId="77777777" w:rsidR="001A54F7" w:rsidRDefault="001A54F7" w:rsidP="001A54F7">
      <w:r>
        <w:t>Cuenta 1101 – Efectivo y Equivalentes (Cuenta del Tesoro).</w:t>
      </w:r>
    </w:p>
    <w:p w14:paraId="3DF2A8A0" w14:textId="77777777" w:rsidR="001A54F7" w:rsidRDefault="001A54F7" w:rsidP="001A54F7">
      <w:r>
        <w:t>Saldo: No ha sido afectado por los asientos del BAS Hipotecario. El Tesoro no ha gastado dinero de su caja fiscal.</w:t>
      </w:r>
    </w:p>
    <w:p w14:paraId="213BE542" w14:textId="77777777" w:rsidR="001A54F7" w:rsidRDefault="001A54F7" w:rsidP="001A54F7"/>
    <w:p w14:paraId="11D6D45E" w14:textId="77777777" w:rsidR="001A54F7" w:rsidRDefault="001A54F7" w:rsidP="001A54F7">
      <w:r>
        <w:t>---</w:t>
      </w:r>
    </w:p>
    <w:p w14:paraId="799DE73F" w14:textId="77777777" w:rsidR="001A54F7" w:rsidRDefault="001A54F7" w:rsidP="001A54F7"/>
    <w:p w14:paraId="39BD5891" w14:textId="77777777" w:rsidR="001A54F7" w:rsidRDefault="001A54F7" w:rsidP="001A54F7">
      <w:r>
        <w:t>SECCIÓN III: BALANCE DEL SISTEMA HIPOTECARIO Y DE VIVIENDA POST-IMPLEMENTACIÓN</w:t>
      </w:r>
    </w:p>
    <w:p w14:paraId="2FFB961B" w14:textId="77777777" w:rsidR="001A54F7" w:rsidRDefault="001A54F7" w:rsidP="001A54F7"/>
    <w:p w14:paraId="61BA6512" w14:textId="77777777" w:rsidR="001A54F7" w:rsidRDefault="001A54F7" w:rsidP="001A54F7">
      <w:r>
        <w:t>BALANCE DEL BANCO HIPOTECARIO:</w:t>
      </w:r>
    </w:p>
    <w:p w14:paraId="46C44685" w14:textId="77777777" w:rsidR="001A54F7" w:rsidRDefault="001A54F7" w:rsidP="001A54F7"/>
    <w:p w14:paraId="72D23421" w14:textId="77777777" w:rsidR="001A54F7" w:rsidRDefault="001A54F7" w:rsidP="001A54F7">
      <w:r>
        <w:t xml:space="preserve">· ACTIVO: Compuesto por los préstamos hipotecarios (1208) y los </w:t>
      </w:r>
      <w:proofErr w:type="spellStart"/>
      <w:r>
        <w:t>Criptobonos</w:t>
      </w:r>
      <w:proofErr w:type="spellEnd"/>
      <w:r>
        <w:t xml:space="preserve"> en custodia (1301-DP-BC) durante el ciclo. Al final del proceso, todos los préstamos han sido amortizados y los </w:t>
      </w:r>
      <w:proofErr w:type="spellStart"/>
      <w:r>
        <w:t>Criptobonos</w:t>
      </w:r>
      <w:proofErr w:type="spellEnd"/>
      <w:r>
        <w:t xml:space="preserve"> liquidados.</w:t>
      </w:r>
    </w:p>
    <w:p w14:paraId="0526D1B3" w14:textId="77777777" w:rsidR="001A54F7" w:rsidRDefault="001A54F7" w:rsidP="001A54F7">
      <w:r>
        <w:t>· PASIVO: Los DCT-H (3109-H) han sido emitidos y cancelados en su totalidad.</w:t>
      </w:r>
    </w:p>
    <w:p w14:paraId="3D476F4F" w14:textId="77777777" w:rsidR="001A54F7" w:rsidRDefault="001A54F7" w:rsidP="001A54F7">
      <w:r>
        <w:t xml:space="preserve">· RESULTADO: El banco obtiene ingresos por las comisiones de </w:t>
      </w:r>
      <w:proofErr w:type="spellStart"/>
      <w:r>
        <w:t>originación</w:t>
      </w:r>
      <w:proofErr w:type="spellEnd"/>
      <w:r>
        <w:t xml:space="preserve"> (4205) y los intereses hipotecarios (4206), sin riesgo de impago.</w:t>
      </w:r>
    </w:p>
    <w:p w14:paraId="7885F4C6" w14:textId="77777777" w:rsidR="001A54F7" w:rsidRDefault="001A54F7" w:rsidP="001A54F7"/>
    <w:p w14:paraId="460C5048" w14:textId="77777777" w:rsidR="001A54F7" w:rsidRDefault="001A54F7" w:rsidP="001A54F7">
      <w:r>
        <w:t>BALANCE DEL CIUDADANO:</w:t>
      </w:r>
    </w:p>
    <w:p w14:paraId="6170B9D7" w14:textId="77777777" w:rsidR="001A54F7" w:rsidRDefault="001A54F7" w:rsidP="001A54F7"/>
    <w:p w14:paraId="3C964539" w14:textId="77777777" w:rsidR="001A54F7" w:rsidRDefault="001A54F7" w:rsidP="001A54F7">
      <w:r>
        <w:t>· ACTIVO: Es propietario de una vivienda (representada por el CVT 1302-CVT), la cual ha sido totalmente pagada.</w:t>
      </w:r>
    </w:p>
    <w:p w14:paraId="6BEA668F" w14:textId="77777777" w:rsidR="001A54F7" w:rsidRDefault="001A54F7" w:rsidP="001A54F7">
      <w:r>
        <w:t xml:space="preserve">· PASIVO: La </w:t>
      </w:r>
      <w:proofErr w:type="spellStart"/>
      <w:r>
        <w:t>cripto</w:t>
      </w:r>
      <w:proofErr w:type="spellEnd"/>
      <w:r>
        <w:rPr>
          <w:rFonts w:ascii="Roboto" w:hAnsi="Roboto" w:cs="Roboto"/>
        </w:rPr>
        <w:t>‑</w:t>
      </w:r>
      <w:r>
        <w:t>hipoteca (2201-CHT) ha sido extinguida. El ciudadano es dueño libre de deuda.</w:t>
      </w:r>
    </w:p>
    <w:p w14:paraId="1A6D6766" w14:textId="77777777" w:rsidR="001A54F7" w:rsidRDefault="001A54F7" w:rsidP="001A54F7"/>
    <w:p w14:paraId="722479CF" w14:textId="77777777" w:rsidR="001A54F7" w:rsidRDefault="001A54F7" w:rsidP="001A54F7">
      <w:r>
        <w:t>BALANCE DEL TESORO DE LOS ESTADOS UNIDOS:</w:t>
      </w:r>
    </w:p>
    <w:p w14:paraId="7C61FE85" w14:textId="77777777" w:rsidR="001A54F7" w:rsidRDefault="001A54F7" w:rsidP="001A54F7"/>
    <w:p w14:paraId="566E2C20" w14:textId="77777777" w:rsidR="001A54F7" w:rsidRDefault="001A54F7" w:rsidP="001A54F7">
      <w:r>
        <w:t>· DEUDA PÚBLICA: Reducida a CERO.</w:t>
      </w:r>
    </w:p>
    <w:p w14:paraId="5B9FB28C" w14:textId="77777777" w:rsidR="001A54F7" w:rsidRDefault="001A54F7" w:rsidP="001A54F7">
      <w:r>
        <w:t>· CAJA FISCAL: Intacta.</w:t>
      </w:r>
    </w:p>
    <w:p w14:paraId="1891866B" w14:textId="77777777" w:rsidR="001A54F7" w:rsidRDefault="001A54F7" w:rsidP="001A54F7"/>
    <w:p w14:paraId="21DE7D61" w14:textId="77777777" w:rsidR="001A54F7" w:rsidRDefault="001A54F7" w:rsidP="001A54F7">
      <w:r>
        <w:t>---</w:t>
      </w:r>
    </w:p>
    <w:p w14:paraId="6F7CC927" w14:textId="77777777" w:rsidR="001A54F7" w:rsidRDefault="001A54F7" w:rsidP="001A54F7"/>
    <w:p w14:paraId="213DD1FC" w14:textId="77777777" w:rsidR="001A54F7" w:rsidRDefault="001A54F7" w:rsidP="001A54F7">
      <w:r>
        <w:t>CONCLUSIÓN FINAL DEL PROTOCOLO HIPOTECARIO Y DE VIVIENDA</w:t>
      </w:r>
    </w:p>
    <w:p w14:paraId="5BAD6AEA" w14:textId="77777777" w:rsidR="001A54F7" w:rsidRDefault="001A54F7" w:rsidP="001A54F7"/>
    <w:p w14:paraId="26EB7FF5" w14:textId="77777777" w:rsidR="001A54F7" w:rsidRDefault="001A54F7" w:rsidP="001A54F7">
      <w:r>
        <w:t xml:space="preserve">El presente documento demuestra la viabilidad técnica, legal y contable del Bucle de Compensación Soberana de Fase Dual – Modalidad Hipotecaria y de Vivienda, que convierte la deuda pública en un motor de financiamiento de vivienda masivo, permitiendo a los ciudadanos acceder a créditos hipotecarios respaldados por activos </w:t>
      </w:r>
      <w:proofErr w:type="spellStart"/>
      <w:r>
        <w:t>tokenizados</w:t>
      </w:r>
      <w:proofErr w:type="spellEnd"/>
      <w:r>
        <w:t xml:space="preserve"> de máxima calidad, mientras los spreads generados en la </w:t>
      </w:r>
      <w:proofErr w:type="spellStart"/>
      <w:r>
        <w:t>originación</w:t>
      </w:r>
      <w:proofErr w:type="spellEnd"/>
      <w:r>
        <w:t xml:space="preserve"> y en cada cuota mensual recompran y extinguen los </w:t>
      </w:r>
      <w:proofErr w:type="spellStart"/>
      <w:r>
        <w:t>Criptobonos</w:t>
      </w:r>
      <w:proofErr w:type="spellEnd"/>
      <w:r>
        <w:t xml:space="preserve"> del Tesoro.</w:t>
      </w:r>
    </w:p>
    <w:p w14:paraId="33989187" w14:textId="77777777" w:rsidR="001A54F7" w:rsidRDefault="001A54F7" w:rsidP="001A54F7"/>
    <w:p w14:paraId="7F13B25E" w14:textId="77777777" w:rsidR="001A54F7" w:rsidRDefault="001A54F7" w:rsidP="001A54F7">
      <w:r>
        <w:t>El ciclo es perfecto y autónomo: el ciudadano obtiene su vivienda, el banco obtiene su margen de intermediación, y el Estado liquida su deuda sin desembolsar un solo centavo de su caja fiscal. La vivienda, como activo tangible, añade una capa adicional de seguridad al sistema, haciendo de este el protocolo hipotecario más sólido jamás concebido.</w:t>
      </w:r>
    </w:p>
    <w:p w14:paraId="31AEC78C" w14:textId="77777777" w:rsidR="001A54F7" w:rsidRDefault="001A54F7" w:rsidP="001A54F7"/>
    <w:p w14:paraId="2D15F1BE" w14:textId="41EFCAB7" w:rsidR="001A54F7" w:rsidRDefault="001A54F7">
      <w:r>
        <w:t xml:space="preserve">Este es el mecanismo que la LLC Mendoza &amp; </w:t>
      </w:r>
      <w:proofErr w:type="spellStart"/>
      <w:r>
        <w:t>Fennimore</w:t>
      </w:r>
      <w:proofErr w:type="spellEnd"/>
      <w:r>
        <w:t xml:space="preserve"> implementará como el estándar global de financiamiento hipotecario soberano, integrando la banca, el sector inmobiliario y la política fiscal en un único ecosistema descentralizado de liquidación autónoma de deuda pública.</w:t>
      </w:r>
    </w:p>
    <w:sectPr w:rsidR="001A54F7">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F7"/>
    <w:rsid w:val="001A54F7"/>
    <w:rsid w:val="00324C1C"/>
    <w:rsid w:val="007B7ED2"/>
    <w:rsid w:val="00E26AF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775DC14B"/>
  <w15:chartTrackingRefBased/>
  <w15:docId w15:val="{2E1AFB05-3480-6847-BC0A-40047CA1C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A54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A54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A54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A54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54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54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54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54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54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54F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A54F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A54F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A54F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A54F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A54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54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54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54F7"/>
    <w:rPr>
      <w:rFonts w:eastAsiaTheme="majorEastAsia" w:cstheme="majorBidi"/>
      <w:color w:val="272727" w:themeColor="text1" w:themeTint="D8"/>
    </w:rPr>
  </w:style>
  <w:style w:type="paragraph" w:styleId="Ttulo">
    <w:name w:val="Title"/>
    <w:basedOn w:val="Normal"/>
    <w:next w:val="Normal"/>
    <w:link w:val="TtuloCar"/>
    <w:uiPriority w:val="10"/>
    <w:qFormat/>
    <w:rsid w:val="001A5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54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54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54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54F7"/>
    <w:pPr>
      <w:spacing w:before="160"/>
      <w:jc w:val="center"/>
    </w:pPr>
    <w:rPr>
      <w:i/>
      <w:iCs/>
      <w:color w:val="404040" w:themeColor="text1" w:themeTint="BF"/>
    </w:rPr>
  </w:style>
  <w:style w:type="character" w:customStyle="1" w:styleId="CitaCar">
    <w:name w:val="Cita Car"/>
    <w:basedOn w:val="Fuentedeprrafopredeter"/>
    <w:link w:val="Cita"/>
    <w:uiPriority w:val="29"/>
    <w:rsid w:val="001A54F7"/>
    <w:rPr>
      <w:i/>
      <w:iCs/>
      <w:color w:val="404040" w:themeColor="text1" w:themeTint="BF"/>
    </w:rPr>
  </w:style>
  <w:style w:type="paragraph" w:styleId="Prrafodelista">
    <w:name w:val="List Paragraph"/>
    <w:basedOn w:val="Normal"/>
    <w:uiPriority w:val="34"/>
    <w:qFormat/>
    <w:rsid w:val="001A54F7"/>
    <w:pPr>
      <w:ind w:left="720"/>
      <w:contextualSpacing/>
    </w:pPr>
  </w:style>
  <w:style w:type="character" w:styleId="nfasisintenso">
    <w:name w:val="Intense Emphasis"/>
    <w:basedOn w:val="Fuentedeprrafopredeter"/>
    <w:uiPriority w:val="21"/>
    <w:qFormat/>
    <w:rsid w:val="001A54F7"/>
    <w:rPr>
      <w:i/>
      <w:iCs/>
      <w:color w:val="0F4761" w:themeColor="accent1" w:themeShade="BF"/>
    </w:rPr>
  </w:style>
  <w:style w:type="paragraph" w:styleId="Citadestacada">
    <w:name w:val="Intense Quote"/>
    <w:basedOn w:val="Normal"/>
    <w:next w:val="Normal"/>
    <w:link w:val="CitadestacadaCar"/>
    <w:uiPriority w:val="30"/>
    <w:qFormat/>
    <w:rsid w:val="001A54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54F7"/>
    <w:rPr>
      <w:i/>
      <w:iCs/>
      <w:color w:val="0F4761" w:themeColor="accent1" w:themeShade="BF"/>
    </w:rPr>
  </w:style>
  <w:style w:type="character" w:styleId="Referenciaintensa">
    <w:name w:val="Intense Reference"/>
    <w:basedOn w:val="Fuentedeprrafopredeter"/>
    <w:uiPriority w:val="32"/>
    <w:qFormat/>
    <w:rsid w:val="001A54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2864</Words>
  <Characters>15757</Characters>
  <Application>Microsoft Office Word</Application>
  <DocSecurity>0</DocSecurity>
  <Lines>131</Lines>
  <Paragraphs>37</Paragraphs>
  <ScaleCrop>false</ScaleCrop>
  <Company/>
  <LinksUpToDate>false</LinksUpToDate>
  <CharactersWithSpaces>18584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2026-05-02T03:50:00Z</dcterms:created>
  <dcterms:modified xsi:type="dcterms:W3CDTF">2026-05-02T03:50:00Z</dcterms:modified>
</cp:coreProperties>
</file>