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10171" w14:textId="77777777" w:rsidR="00F638BD" w:rsidRDefault="00F638BD" w:rsidP="00F638BD">
      <w:r>
        <w:t xml:space="preserve">PROTOCOLO DE GARANTÍA SOBERANA: EL DÓLAR DIGITAL TBAC COMO RESPALDO DE LIQUIDEZ DE LOS DEPÓSITOS DE CRÉDITO TOKENIZADOS Y MECANISMO DE LIQUIDACIÓN AUTÓNOMA DE LOS 4 CRIPTOBONOS </w:t>
      </w:r>
      <w:proofErr w:type="spellStart"/>
      <w:r>
        <w:t>NFTs</w:t>
      </w:r>
      <w:proofErr w:type="spellEnd"/>
      <w:r>
        <w:t xml:space="preserve"> MEDIANTE SPREADS DEL ECOSISTEMA DE LA RED CANTON NETWORK</w:t>
      </w:r>
    </w:p>
    <w:p w14:paraId="52913553" w14:textId="77777777" w:rsidR="00F638BD" w:rsidRDefault="00F638BD" w:rsidP="00F638BD"/>
    <w:p w14:paraId="27B792DC" w14:textId="77777777" w:rsidR="00F638BD" w:rsidRDefault="00F638BD" w:rsidP="00F638BD">
      <w:r>
        <w:t xml:space="preserve">Autor del Modelo y la Arquitectura: </w:t>
      </w:r>
      <w:proofErr w:type="spellStart"/>
      <w:r>
        <w:t>Roberth</w:t>
      </w:r>
      <w:proofErr w:type="spellEnd"/>
      <w:r>
        <w:t xml:space="preserve"> </w:t>
      </w:r>
      <w:proofErr w:type="spellStart"/>
      <w:r>
        <w:t>Willians</w:t>
      </w:r>
      <w:proofErr w:type="spellEnd"/>
      <w:r>
        <w:t xml:space="preserve"> Mendoza Requena</w:t>
      </w:r>
    </w:p>
    <w:p w14:paraId="4889D65E" w14:textId="77777777" w:rsidR="00F638BD" w:rsidRDefault="00F638BD" w:rsidP="00F638BD">
      <w:r>
        <w:t>Fecha del Documento: 01 de mayo de 2026</w:t>
      </w:r>
    </w:p>
    <w:p w14:paraId="6AF1A2D2" w14:textId="77777777" w:rsidR="00F638BD" w:rsidRDefault="00F638BD" w:rsidP="00F638BD">
      <w:r>
        <w:t>Versión: 1.0 (Formato Continuo – Sin Tablas)</w:t>
      </w:r>
    </w:p>
    <w:p w14:paraId="530047DA" w14:textId="77777777" w:rsidR="00F638BD" w:rsidRDefault="00F638BD" w:rsidP="00F638BD">
      <w:r>
        <w:t xml:space="preserve">Propósito: Explicar detalladamente cómo el Dólar Digital TBAC actúa como garantía de liquidación de los Depósitos de Crédito </w:t>
      </w:r>
      <w:proofErr w:type="spellStart"/>
      <w:r>
        <w:t>Tokenizados</w:t>
      </w:r>
      <w:proofErr w:type="spellEnd"/>
      <w:r>
        <w:t xml:space="preserve"> (DCT) de las tarjetas de crédito y las pólizas de seguros, cerrando el ciclo de liquidación de los 4 </w:t>
      </w:r>
      <w:proofErr w:type="spellStart"/>
      <w:r>
        <w:t>Criptobonos</w:t>
      </w:r>
      <w:proofErr w:type="spellEnd"/>
      <w:r>
        <w:t xml:space="preserve"> </w:t>
      </w:r>
      <w:proofErr w:type="spellStart"/>
      <w:r>
        <w:t>NFTs</w:t>
      </w:r>
      <w:proofErr w:type="spellEnd"/>
      <w:r>
        <w:t xml:space="preserve"> sin requerir desembolso alguno por parte del Tesoro de los Estados Unidos. Este documento incluye todos los asientos contables necesarios, en perfecta coherencia con los diez documentos fundacionales, los Protocolos de Fase Dual, el BCAS y la Fórmula B.</w:t>
      </w:r>
    </w:p>
    <w:p w14:paraId="4CD14FE2" w14:textId="77777777" w:rsidR="00F638BD" w:rsidRDefault="00F638BD" w:rsidP="00F638BD"/>
    <w:p w14:paraId="14F27B34" w14:textId="77777777" w:rsidR="00F638BD" w:rsidRDefault="00F638BD" w:rsidP="00F638BD">
      <w:r>
        <w:t>---</w:t>
      </w:r>
    </w:p>
    <w:p w14:paraId="356D3529" w14:textId="77777777" w:rsidR="00F638BD" w:rsidRDefault="00F638BD" w:rsidP="00F638BD"/>
    <w:p w14:paraId="399D335F" w14:textId="77777777" w:rsidR="00F638BD" w:rsidRDefault="00F638BD" w:rsidP="00F638BD">
      <w:r>
        <w:t>1. FUNDAMENTO CONCEPTUAL: EL TBAC COMO GARANTÍA DE ÚLTIMA INSTANCIA Y NÚCLEO DE LIQUIDACIÓN</w:t>
      </w:r>
    </w:p>
    <w:p w14:paraId="5EC8964E" w14:textId="77777777" w:rsidR="00F638BD" w:rsidRDefault="00F638BD" w:rsidP="00F638BD"/>
    <w:p w14:paraId="503B2386" w14:textId="77777777" w:rsidR="00F638BD" w:rsidRDefault="00F638BD" w:rsidP="00F638BD">
      <w:r>
        <w:t xml:space="preserve">El Dólar Digital TBAC no es un simple medio de pago; es el activo de reserva soberano de la Red </w:t>
      </w:r>
      <w:proofErr w:type="spellStart"/>
      <w:r>
        <w:t>Canton</w:t>
      </w:r>
      <w:proofErr w:type="spellEnd"/>
      <w:r>
        <w:t xml:space="preserve"> Network. Su valor estructural, anclado en 7.30x por la Fórmula B, lo convierte en la garantía de máxima calidad para respaldar cualquier obligación dentro del sistema. Los Depósitos de Crédito </w:t>
      </w:r>
      <w:proofErr w:type="spellStart"/>
      <w:r>
        <w:t>Tokenizados</w:t>
      </w:r>
      <w:proofErr w:type="spellEnd"/>
      <w:r>
        <w:t xml:space="preserve"> (DCT), que los bancos emiten para financiar las tarjetas de crédito y las pólizas de seguro, no son simplemente un pasivo bancario respaldado por los </w:t>
      </w:r>
      <w:proofErr w:type="spellStart"/>
      <w:r>
        <w:t>Criptobonos</w:t>
      </w:r>
      <w:proofErr w:type="spellEnd"/>
      <w:r>
        <w:t xml:space="preserve"> </w:t>
      </w:r>
      <w:proofErr w:type="spellStart"/>
      <w:r>
        <w:t>NFTs</w:t>
      </w:r>
      <w:proofErr w:type="spellEnd"/>
      <w:r>
        <w:t xml:space="preserve">. En la arquitectura perfeccionada de la Red </w:t>
      </w:r>
      <w:proofErr w:type="spellStart"/>
      <w:r>
        <w:t>Canton</w:t>
      </w:r>
      <w:proofErr w:type="spellEnd"/>
      <w:r>
        <w:t xml:space="preserve">, cada DCT emitido exige la constitución de una garantía equivalente en TBAC, que queda bloqueada en un </w:t>
      </w:r>
      <w:proofErr w:type="spellStart"/>
      <w:r>
        <w:t>smart</w:t>
      </w:r>
      <w:proofErr w:type="spellEnd"/>
      <w:r>
        <w:t xml:space="preserve"> </w:t>
      </w:r>
      <w:proofErr w:type="spellStart"/>
      <w:r>
        <w:t>contract</w:t>
      </w:r>
      <w:proofErr w:type="spellEnd"/>
      <w:r>
        <w:t xml:space="preserve"> de custodia.</w:t>
      </w:r>
    </w:p>
    <w:p w14:paraId="07CEA8D2" w14:textId="77777777" w:rsidR="00F638BD" w:rsidRDefault="00F638BD" w:rsidP="00F638BD"/>
    <w:p w14:paraId="1E2F2B4D" w14:textId="77777777" w:rsidR="00F638BD" w:rsidRDefault="00F638BD" w:rsidP="00F638BD">
      <w:r>
        <w:t xml:space="preserve">Esta garantía cumple una doble función. En primer lugar, asegura a los tenedores de DCT (los comercios y los ciudadanos) que el valor de sus créditos está respaldado por un activo de valor estructural inmutable. En segundo lugar, convierte al TBAC en el engranaje que cierra el ciclo de liquidación de los 4 </w:t>
      </w:r>
      <w:proofErr w:type="spellStart"/>
      <w:r>
        <w:t>Criptobonos</w:t>
      </w:r>
      <w:proofErr w:type="spellEnd"/>
      <w:r>
        <w:t xml:space="preserve"> </w:t>
      </w:r>
      <w:proofErr w:type="spellStart"/>
      <w:r>
        <w:t>NFTs</w:t>
      </w:r>
      <w:proofErr w:type="spellEnd"/>
      <w:r>
        <w:t xml:space="preserve">. Cuando los spreads generados por la actividad económica (tarjetas, pólizas, </w:t>
      </w:r>
      <w:proofErr w:type="spellStart"/>
      <w:r>
        <w:t>Criptobonos</w:t>
      </w:r>
      <w:proofErr w:type="spellEnd"/>
      <w:r>
        <w:t xml:space="preserve"> y CIDA</w:t>
      </w:r>
      <w:r>
        <w:rPr>
          <w:rFonts w:ascii="Roboto" w:hAnsi="Roboto" w:cs="Roboto"/>
        </w:rPr>
        <w:t>‑</w:t>
      </w:r>
      <w:r>
        <w:t xml:space="preserve">R) se utilizan para recomprar los </w:t>
      </w:r>
      <w:proofErr w:type="spellStart"/>
      <w:r>
        <w:t>Criptobonos</w:t>
      </w:r>
      <w:proofErr w:type="spellEnd"/>
      <w:r>
        <w:t>, la garantía en TBAC asociada a esos DCT se libera automáticamente, y es entonces destruida o reciclada por el sistema, ajustando la masa monetaria al nuevo nivel de deuda extinguida.</w:t>
      </w:r>
    </w:p>
    <w:p w14:paraId="129CE67E" w14:textId="77777777" w:rsidR="00F638BD" w:rsidRDefault="00F638BD" w:rsidP="00F638BD"/>
    <w:p w14:paraId="2843281F" w14:textId="77777777" w:rsidR="00F638BD" w:rsidRDefault="00F638BD" w:rsidP="00F638BD">
      <w:r>
        <w:t xml:space="preserve">El resultado es un ciclo perfecto: el crédito al consumo (DCT) es respaldado por el TBAC, el cual a su vez está respaldado por los </w:t>
      </w:r>
      <w:proofErr w:type="spellStart"/>
      <w:r>
        <w:t>Criptobonos</w:t>
      </w:r>
      <w:proofErr w:type="spellEnd"/>
      <w:r>
        <w:t xml:space="preserve"> </w:t>
      </w:r>
      <w:proofErr w:type="spellStart"/>
      <w:r>
        <w:t>NFTs</w:t>
      </w:r>
      <w:proofErr w:type="spellEnd"/>
      <w:r>
        <w:t xml:space="preserve"> y el PIB Ajustado. A medida que el consumo ciudadano genera spreads, estos spreads recompran los </w:t>
      </w:r>
      <w:proofErr w:type="spellStart"/>
      <w:r>
        <w:t>Criptobonos</w:t>
      </w:r>
      <w:proofErr w:type="spellEnd"/>
      <w:r>
        <w:t>, liberando la garantía en TBAC y reduciendo la deuda pública. El Tesoro no desembolsa dinero; el propio ecosistema se autoliquida.</w:t>
      </w:r>
    </w:p>
    <w:p w14:paraId="3366F784" w14:textId="77777777" w:rsidR="00F638BD" w:rsidRDefault="00F638BD" w:rsidP="00F638BD"/>
    <w:p w14:paraId="10325D05" w14:textId="77777777" w:rsidR="00F638BD" w:rsidRDefault="00F638BD" w:rsidP="00F638BD">
      <w:r>
        <w:t>---</w:t>
      </w:r>
    </w:p>
    <w:p w14:paraId="77274907" w14:textId="77777777" w:rsidR="00F638BD" w:rsidRDefault="00F638BD" w:rsidP="00F638BD"/>
    <w:p w14:paraId="392984EF" w14:textId="77777777" w:rsidR="00F638BD" w:rsidRDefault="00F638BD" w:rsidP="00F638BD">
      <w:r>
        <w:t>2. MECANISMO DE GARANTÍA: CONSTITUCIÓN Y LIBERACIÓN DEL TBAC EN EL CICLO DE CRÉDITO</w:t>
      </w:r>
    </w:p>
    <w:p w14:paraId="08DD942D" w14:textId="77777777" w:rsidR="00F638BD" w:rsidRDefault="00F638BD" w:rsidP="00F638BD"/>
    <w:p w14:paraId="378A4389" w14:textId="77777777" w:rsidR="00F638BD" w:rsidRDefault="00F638BD" w:rsidP="00F638BD">
      <w:r>
        <w:t xml:space="preserve">A continuación, se detalla el flujo operativo y los asientos contables correspondientes a la constitución de la garantía en TBAC, su utilización como respaldo de los DCT y su liberación al liquidarse los </w:t>
      </w:r>
      <w:proofErr w:type="spellStart"/>
      <w:r>
        <w:t>Criptobonos</w:t>
      </w:r>
      <w:proofErr w:type="spellEnd"/>
      <w:r>
        <w:t xml:space="preserve"> subyacentes.</w:t>
      </w:r>
    </w:p>
    <w:p w14:paraId="4E4DB9A8" w14:textId="77777777" w:rsidR="00F638BD" w:rsidRDefault="00F638BD" w:rsidP="00F638BD"/>
    <w:p w14:paraId="16D84889" w14:textId="77777777" w:rsidR="00F638BD" w:rsidRDefault="00F638BD" w:rsidP="00F638BD">
      <w:r>
        <w:t>Fase A: Constitución de la Garantía (Emisión de DCT respaldado por TBAC).</w:t>
      </w:r>
    </w:p>
    <w:p w14:paraId="026375D5" w14:textId="77777777" w:rsidR="00F638BD" w:rsidRDefault="00F638BD" w:rsidP="00F638BD">
      <w:r>
        <w:t xml:space="preserve">Un banco comercial miembro de la Red </w:t>
      </w:r>
      <w:proofErr w:type="spellStart"/>
      <w:r>
        <w:t>Canton</w:t>
      </w:r>
      <w:proofErr w:type="spellEnd"/>
      <w:r>
        <w:t xml:space="preserve"> recibe un </w:t>
      </w:r>
      <w:proofErr w:type="spellStart"/>
      <w:r>
        <w:t>Criptobono</w:t>
      </w:r>
      <w:proofErr w:type="spellEnd"/>
      <w:r>
        <w:t xml:space="preserve"> NFT como colateral. Para emitir DCT destinados a tarjetas de crédito o pólizas de seguro, el banco debe solicitar al contrato inteligente del TBAC la acuñación de una cantidad equivalente de TBAC como garantía. Estos TBAC no entran en circulación; quedan bloqueados en una cuenta de custodia del </w:t>
      </w:r>
      <w:proofErr w:type="spellStart"/>
      <w:r>
        <w:t>smart</w:t>
      </w:r>
      <w:proofErr w:type="spellEnd"/>
      <w:r>
        <w:t xml:space="preserve"> </w:t>
      </w:r>
      <w:proofErr w:type="spellStart"/>
      <w:r>
        <w:t>contract</w:t>
      </w:r>
      <w:proofErr w:type="spellEnd"/>
      <w:r>
        <w:t>, identificados como "TBAC en Garantía".</w:t>
      </w:r>
    </w:p>
    <w:p w14:paraId="3CAC197C" w14:textId="77777777" w:rsidR="00F638BD" w:rsidRDefault="00F638BD" w:rsidP="00F638BD"/>
    <w:p w14:paraId="315A913A" w14:textId="77777777" w:rsidR="00F638BD" w:rsidRDefault="00F638BD" w:rsidP="00F638BD">
      <w:r>
        <w:t>Fase B: Operación del Crédito y Captura de Spreads.</w:t>
      </w:r>
    </w:p>
    <w:p w14:paraId="7A822D1E" w14:textId="77777777" w:rsidR="00F638BD" w:rsidRDefault="00F638BD" w:rsidP="00F638BD">
      <w:r>
        <w:t xml:space="preserve">Los ciudadanos utilizan sus tarjetas de crédito y pagan sus primas de seguro. En cada transacción, el Smart </w:t>
      </w:r>
      <w:proofErr w:type="spellStart"/>
      <w:r>
        <w:t>Contract</w:t>
      </w:r>
      <w:proofErr w:type="spellEnd"/>
      <w:r>
        <w:t xml:space="preserve"> DCT captura un micro</w:t>
      </w:r>
      <w:r>
        <w:rPr>
          <w:rFonts w:ascii="Roboto" w:hAnsi="Roboto" w:cs="Roboto"/>
        </w:rPr>
        <w:t>‑</w:t>
      </w:r>
      <w:r>
        <w:t xml:space="preserve">spread que se destina al Fondo Soberano de Liquidación de Deuda (FSLD). Simultáneamente, los bucles de arbitraje de </w:t>
      </w:r>
      <w:proofErr w:type="spellStart"/>
      <w:r>
        <w:t>Criptobonos</w:t>
      </w:r>
      <w:proofErr w:type="spellEnd"/>
      <w:r>
        <w:t xml:space="preserve"> y las transacciones de CIDA</w:t>
      </w:r>
      <w:r>
        <w:rPr>
          <w:rFonts w:ascii="Roboto" w:hAnsi="Roboto" w:cs="Roboto"/>
        </w:rPr>
        <w:t>‑</w:t>
      </w:r>
      <w:r>
        <w:t>R generan spreads adicionales que también alimentan el FSLD.</w:t>
      </w:r>
    </w:p>
    <w:p w14:paraId="6F09C9F0" w14:textId="77777777" w:rsidR="00F638BD" w:rsidRDefault="00F638BD" w:rsidP="00F638BD"/>
    <w:p w14:paraId="6594E7B5" w14:textId="77777777" w:rsidR="00F638BD" w:rsidRDefault="00F638BD" w:rsidP="00F638BD">
      <w:r>
        <w:t xml:space="preserve">Fase C: Liquidación del </w:t>
      </w:r>
      <w:proofErr w:type="spellStart"/>
      <w:r>
        <w:t>Criptobono</w:t>
      </w:r>
      <w:proofErr w:type="spellEnd"/>
      <w:r>
        <w:t xml:space="preserve"> y Liberación de la Garantía.</w:t>
      </w:r>
    </w:p>
    <w:p w14:paraId="1C89FDC5" w14:textId="77777777" w:rsidR="00F638BD" w:rsidRDefault="00F638BD" w:rsidP="00F638BD">
      <w:r>
        <w:t xml:space="preserve">Periódicamente, el saldo acumulado en el FSLD se utiliza para recomprar y extinguir porciones de los </w:t>
      </w:r>
      <w:proofErr w:type="spellStart"/>
      <w:r>
        <w:t>Criptobonos</w:t>
      </w:r>
      <w:proofErr w:type="spellEnd"/>
      <w:r>
        <w:t xml:space="preserve"> </w:t>
      </w:r>
      <w:proofErr w:type="spellStart"/>
      <w:r>
        <w:t>NFTs</w:t>
      </w:r>
      <w:proofErr w:type="spellEnd"/>
      <w:r>
        <w:t xml:space="preserve"> de Deuda Pública. En el mismo instante en que el </w:t>
      </w:r>
      <w:proofErr w:type="spellStart"/>
      <w:r>
        <w:t>Criptobono</w:t>
      </w:r>
      <w:proofErr w:type="spellEnd"/>
      <w:r>
        <w:t xml:space="preserve"> es quemado, el </w:t>
      </w:r>
      <w:proofErr w:type="spellStart"/>
      <w:r>
        <w:t>smart</w:t>
      </w:r>
      <w:proofErr w:type="spellEnd"/>
      <w:r>
        <w:t xml:space="preserve"> </w:t>
      </w:r>
      <w:proofErr w:type="spellStart"/>
      <w:r>
        <w:t>contract</w:t>
      </w:r>
      <w:proofErr w:type="spellEnd"/>
      <w:r>
        <w:t xml:space="preserve"> del TBAC libera automáticamente una cantidad proporcional de TBAC en Garantía, que es entonces quemada (destruida) por el sistema, reduciendo la masa monetaria total de TBAC en circulación y ajustándola al nuevo nivel de deuda extinguida. Este mecanismo garantiza que la expansión monetaria temporal causada por la emisión de DCT está siempre respaldada por una reducción equivalente de la deuda soberana.</w:t>
      </w:r>
    </w:p>
    <w:p w14:paraId="74D9416F" w14:textId="77777777" w:rsidR="00F638BD" w:rsidRDefault="00F638BD" w:rsidP="00F638BD"/>
    <w:p w14:paraId="4DB03B7B" w14:textId="77777777" w:rsidR="00F638BD" w:rsidRDefault="00F638BD" w:rsidP="00F638BD">
      <w:r>
        <w:t>---</w:t>
      </w:r>
    </w:p>
    <w:p w14:paraId="7CE6B6C5" w14:textId="77777777" w:rsidR="00F638BD" w:rsidRDefault="00F638BD" w:rsidP="00F638BD"/>
    <w:p w14:paraId="39FEA2A5" w14:textId="77777777" w:rsidR="00F638BD" w:rsidRDefault="00F638BD" w:rsidP="00F638BD">
      <w:r>
        <w:t>SECCIÓN III: LIBRO DIARIO MAESTRO – ASIENTOS CONTABLES DE LA GARANTÍA TBAC Y LA LIQUIDACIÓN AUTÓNOMA</w:t>
      </w:r>
    </w:p>
    <w:p w14:paraId="78B2702D" w14:textId="77777777" w:rsidR="00F638BD" w:rsidRDefault="00F638BD" w:rsidP="00F638BD"/>
    <w:p w14:paraId="70865F30" w14:textId="77777777" w:rsidR="00F638BD" w:rsidRDefault="00F638BD" w:rsidP="00F638BD">
      <w:r>
        <w:t>A continuación, se presentan los asientos contables que registran el ciclo completo de la garantía TBAC, integrando las cuatro fuentes de spread y la liquidación de la deuda. Estos asientos cuadran perfectamente con los diez documentos fundacionales, los Protocolos de Fase Dual (Tarjetas y Seguros) y el BCAS.</w:t>
      </w:r>
    </w:p>
    <w:p w14:paraId="6DFEA38E" w14:textId="77777777" w:rsidR="00F638BD" w:rsidRDefault="00F638BD" w:rsidP="00F638BD"/>
    <w:p w14:paraId="5CD566CF" w14:textId="77777777" w:rsidR="00F638BD" w:rsidRDefault="00F638BD" w:rsidP="00F638BD">
      <w:r>
        <w:t>---</w:t>
      </w:r>
    </w:p>
    <w:p w14:paraId="01D60685" w14:textId="77777777" w:rsidR="00F638BD" w:rsidRDefault="00F638BD" w:rsidP="00F638BD"/>
    <w:p w14:paraId="0AC4BE56" w14:textId="77777777" w:rsidR="00F638BD" w:rsidRDefault="00F638BD" w:rsidP="00F638BD">
      <w:r>
        <w:t xml:space="preserve">Asiento Número 3.1. Fecha: Día 2 de la </w:t>
      </w:r>
      <w:proofErr w:type="spellStart"/>
      <w:r>
        <w:t>Tokenización</w:t>
      </w:r>
      <w:proofErr w:type="spellEnd"/>
      <w:r>
        <w:t xml:space="preserve"> (Al momento de la emisión de DCT). Concepto: Recepción del </w:t>
      </w:r>
      <w:proofErr w:type="spellStart"/>
      <w:r>
        <w:t>Criptobono</w:t>
      </w:r>
      <w:proofErr w:type="spellEnd"/>
      <w:r>
        <w:t xml:space="preserve"> como Colateral, Emisión de DCT y Constitución de la Garantía TBAC.</w:t>
      </w:r>
    </w:p>
    <w:p w14:paraId="38C6AE8E" w14:textId="77777777" w:rsidR="00F638BD" w:rsidRDefault="00F638BD" w:rsidP="00F638BD">
      <w:r>
        <w:t>Referencia: Documento de Aplicación a EE.UU., Sección 5.3 (</w:t>
      </w:r>
      <w:proofErr w:type="spellStart"/>
      <w:r>
        <w:t>Criptobono</w:t>
      </w:r>
      <w:proofErr w:type="spellEnd"/>
      <w:r>
        <w:t xml:space="preserve"> 1). Protocolo de Fase Dual (Tarjetas de Crédito y Seguros).</w:t>
      </w:r>
    </w:p>
    <w:p w14:paraId="392348BB" w14:textId="77777777" w:rsidR="00F638BD" w:rsidRDefault="00F638BD" w:rsidP="00F638BD">
      <w:r>
        <w:t xml:space="preserve">Descripción: Un banco comercial recibe un </w:t>
      </w:r>
      <w:proofErr w:type="spellStart"/>
      <w:r>
        <w:t>Criptobono</w:t>
      </w:r>
      <w:proofErr w:type="spellEnd"/>
      <w:r>
        <w:t xml:space="preserve"> NFT de Deuda Pública como colateral. Para emitir DCT, el banco solicita al contrato inteligente del TBAC la acuñación de una cantidad equivalente de TBAC como garantía. Estos TBAC quedan bloqueados en una cuenta de custodia del </w:t>
      </w:r>
      <w:proofErr w:type="spellStart"/>
      <w:r>
        <w:t>smart</w:t>
      </w:r>
      <w:proofErr w:type="spellEnd"/>
      <w:r>
        <w:t xml:space="preserve"> </w:t>
      </w:r>
      <w:proofErr w:type="spellStart"/>
      <w:r>
        <w:t>contract</w:t>
      </w:r>
      <w:proofErr w:type="spellEnd"/>
      <w:r>
        <w:t>.</w:t>
      </w:r>
    </w:p>
    <w:p w14:paraId="19A9FF9C" w14:textId="77777777" w:rsidR="00F638BD" w:rsidRDefault="00F638BD" w:rsidP="00F638BD">
      <w:r>
        <w:t>Detalle del Débito (Banco Comercial): Código de Cuenta: 1301</w:t>
      </w:r>
      <w:r>
        <w:rPr>
          <w:rFonts w:ascii="Roboto" w:hAnsi="Roboto" w:cs="Roboto"/>
        </w:rPr>
        <w:t>‑</w:t>
      </w:r>
      <w:r>
        <w:t>DP</w:t>
      </w:r>
      <w:r>
        <w:rPr>
          <w:rFonts w:ascii="Roboto" w:hAnsi="Roboto" w:cs="Roboto"/>
        </w:rPr>
        <w:t>‑</w:t>
      </w:r>
      <w:r>
        <w:t xml:space="preserve">BC. Nombre de la Cuenta: Activo – </w:t>
      </w:r>
      <w:proofErr w:type="spellStart"/>
      <w:r>
        <w:t>Criptobono</w:t>
      </w:r>
      <w:proofErr w:type="spellEnd"/>
      <w:r>
        <w:t xml:space="preserve"> NFT en Custodia (Colateral Recibido). Monto: USD 350,000,000,000.</w:t>
      </w:r>
    </w:p>
    <w:p w14:paraId="29BFB6B3" w14:textId="77777777" w:rsidR="00F638BD" w:rsidRDefault="00F638BD" w:rsidP="00F638BD">
      <w:r>
        <w:t xml:space="preserve">Detalle del Crédito (Banco Comercial): Código de Cuenta: 3109. Nombre de la Cuenta: Pasivo – Depósitos de Crédito </w:t>
      </w:r>
      <w:proofErr w:type="spellStart"/>
      <w:r>
        <w:t>Tokenizados</w:t>
      </w:r>
      <w:proofErr w:type="spellEnd"/>
      <w:r>
        <w:t xml:space="preserve"> (DCT) Emitidos. Monto: USD 350,000,000,000.</w:t>
      </w:r>
    </w:p>
    <w:p w14:paraId="3AD0BF41" w14:textId="77777777" w:rsidR="00F638BD" w:rsidRDefault="00F638BD" w:rsidP="00F638BD">
      <w:r>
        <w:t xml:space="preserve">Detalle del Débito (Contrato Inteligente TBAC – Constitución de Garantía): Código de Cuenta: 1109. Nombre de la Cuenta: Activo – TBAC en Garantía (Custodia del Smart </w:t>
      </w:r>
      <w:proofErr w:type="spellStart"/>
      <w:r>
        <w:t>Contract</w:t>
      </w:r>
      <w:proofErr w:type="spellEnd"/>
      <w:r>
        <w:t>). Monto: USD 350,000,000,000.</w:t>
      </w:r>
    </w:p>
    <w:p w14:paraId="7545EC5D" w14:textId="77777777" w:rsidR="00F638BD" w:rsidRDefault="00F638BD" w:rsidP="00F638BD">
      <w:r>
        <w:t>Detalle del Crédito (Contrato Inteligente TBAC – Emisión de TBAC para Garantía): Código de Cuenta: 3106. Nombre de la Cuenta: Capital Monetario Soberano – Emisión de Garantía TBAC. Monto: USD 350,000,000,000.</w:t>
      </w:r>
    </w:p>
    <w:p w14:paraId="16899E21" w14:textId="77777777" w:rsidR="00F638BD" w:rsidRDefault="00F638BD" w:rsidP="00F638BD">
      <w:r>
        <w:t xml:space="preserve">Explicación: Este asiento es fundamental. El TBAC emitido no circula libremente; queda bloqueado como garantía del DCT. La contrapartida de esta emisión es el </w:t>
      </w:r>
      <w:proofErr w:type="spellStart"/>
      <w:r>
        <w:t>Criptobono</w:t>
      </w:r>
      <w:proofErr w:type="spellEnd"/>
      <w:r>
        <w:t xml:space="preserve"> NFT, que actúa como colateral último. La Fórmula B garantiza que el PIB Ajustado respalda esta emisión.</w:t>
      </w:r>
    </w:p>
    <w:p w14:paraId="388412A8" w14:textId="77777777" w:rsidR="00F638BD" w:rsidRDefault="00F638BD" w:rsidP="00F638BD"/>
    <w:p w14:paraId="3DCC997D" w14:textId="77777777" w:rsidR="00F638BD" w:rsidRDefault="00F638BD" w:rsidP="00F638BD">
      <w:r>
        <w:t>---</w:t>
      </w:r>
    </w:p>
    <w:p w14:paraId="6D291DCF" w14:textId="77777777" w:rsidR="00F638BD" w:rsidRDefault="00F638BD" w:rsidP="00F638BD"/>
    <w:p w14:paraId="5D698063" w14:textId="77777777" w:rsidR="00F638BD" w:rsidRDefault="00F638BD" w:rsidP="00F638BD">
      <w:r>
        <w:t>Asiento Número 4.1. Fecha: Diaria (Cada vez que un ciudadano usa su tarjeta de crédito). Concepto: Utilización del Crédito Respaldado por DCT con Captura del Micro</w:t>
      </w:r>
      <w:r>
        <w:rPr>
          <w:rFonts w:ascii="Roboto" w:hAnsi="Roboto" w:cs="Roboto"/>
        </w:rPr>
        <w:t>‑</w:t>
      </w:r>
      <w:r>
        <w:t>Spread para el FSLD.</w:t>
      </w:r>
    </w:p>
    <w:p w14:paraId="336F4F46" w14:textId="77777777" w:rsidR="00F638BD" w:rsidRDefault="00F638BD" w:rsidP="00F638BD">
      <w:r>
        <w:t>Referencia: Protocolo de Compensación Soberana de Fase Dual – Tarjetas de Crédito. Asiento Número 4 del Libro Diario de dicho protocolo.</w:t>
      </w:r>
    </w:p>
    <w:p w14:paraId="50410D31" w14:textId="77777777" w:rsidR="00F638BD" w:rsidRDefault="00F638BD" w:rsidP="00F638BD">
      <w:r>
        <w:t xml:space="preserve">Descripción: Un ciudadano realiza una compra con su tarjeta de crédito. El Smart </w:t>
      </w:r>
      <w:proofErr w:type="spellStart"/>
      <w:r>
        <w:t>Contract</w:t>
      </w:r>
      <w:proofErr w:type="spellEnd"/>
      <w:r>
        <w:t xml:space="preserve"> DCT procesa el pago al comercio, descuenta un spread (ejemplo: 1% del valor de la compra), y lo distribuye entre el banco emisor y el Fondo Soberano de Liquidación de Deuda (FSLD).</w:t>
      </w:r>
    </w:p>
    <w:p w14:paraId="6AA3E5B1" w14:textId="77777777" w:rsidR="00F638BD" w:rsidRDefault="00F638BD" w:rsidP="00F638BD">
      <w:r>
        <w:t xml:space="preserve">Detalle del Débito (Banco – Utilización del DCT): Código de Cuenta: 3109. Nombre de la Cuenta: Pasivo – Depósitos de Crédito </w:t>
      </w:r>
      <w:proofErr w:type="spellStart"/>
      <w:r>
        <w:t>Tokenizados</w:t>
      </w:r>
      <w:proofErr w:type="spellEnd"/>
      <w:r>
        <w:t xml:space="preserve"> (DCT) Emitidos. Monto: Monto de la Compra + Spread Total.</w:t>
      </w:r>
    </w:p>
    <w:p w14:paraId="2CAFAFC9" w14:textId="77777777" w:rsidR="00F638BD" w:rsidRDefault="00F638BD" w:rsidP="00F638BD">
      <w:r>
        <w:t>Detalle del Crédito (Banco – Liquidación al Comercio): Código de Cuenta: 1101. Nombre de la Cuenta: Efectivo y Equivalentes (Pago al Comercio). Monto: Monto de la Compra (Valor neto recibido por el comercio).</w:t>
      </w:r>
    </w:p>
    <w:p w14:paraId="6AF78EDA" w14:textId="77777777" w:rsidR="00F638BD" w:rsidRDefault="00F638BD" w:rsidP="00F638BD">
      <w:r>
        <w:t>Detalle del Crédito (Banco – Ingreso por Servicio): Código de Cuenta: 4203. Nombre de la Cuenta: Ingreso por Intereses y Comisiones de Crédito. Monto: 0.5% del valor de la compra (Porción del Banco).</w:t>
      </w:r>
    </w:p>
    <w:p w14:paraId="3630436C" w14:textId="77777777" w:rsidR="00F638BD" w:rsidRDefault="00F638BD" w:rsidP="00F638BD">
      <w:r>
        <w:t>Detalle del Crédito (Sistema – FSLD): Código de Cuenta: 3113. Nombre de la Cuenta: Pasivo – Fondo Soberano de Liquidación de Deuda (FSLD). Monto: 0.5% del valor de la compra (Porción del Tesoro).</w:t>
      </w:r>
    </w:p>
    <w:p w14:paraId="74975462" w14:textId="77777777" w:rsidR="00F638BD" w:rsidRDefault="00F638BD" w:rsidP="00F638BD">
      <w:r>
        <w:t>Detalle del Débito (Banco – Creación del Préstamo Asegurado): Código de Cuenta: 1207. Nombre de la Cuenta: Activo – Préstamos al Consumo Cubiertos por PSCT (Cuentas por Cobrar a Ciudadanos). Monto: Monto de la Compra + Spread Total.</w:t>
      </w:r>
    </w:p>
    <w:p w14:paraId="6C8D1EBF" w14:textId="77777777" w:rsidR="00F638BD" w:rsidRDefault="00F638BD" w:rsidP="00F638BD"/>
    <w:p w14:paraId="7CE17BFF" w14:textId="77777777" w:rsidR="00F638BD" w:rsidRDefault="00F638BD" w:rsidP="00F638BD">
      <w:r>
        <w:t>---</w:t>
      </w:r>
    </w:p>
    <w:p w14:paraId="715ED427" w14:textId="77777777" w:rsidR="00F638BD" w:rsidRDefault="00F638BD" w:rsidP="00F638BD"/>
    <w:p w14:paraId="5DFDD95F" w14:textId="77777777" w:rsidR="00F638BD" w:rsidRDefault="00F638BD" w:rsidP="00F638BD">
      <w:r>
        <w:t>Asiento Número 4.2. Fecha: Diaria (Cada vez que un ciudadano paga su prima de seguro). Concepto: Pago de la Prima de Seguro con Captura del Spread Actuarial para el FSLD.</w:t>
      </w:r>
    </w:p>
    <w:p w14:paraId="6E88FF6E" w14:textId="77777777" w:rsidR="00F638BD" w:rsidRDefault="00F638BD" w:rsidP="00F638BD">
      <w:r>
        <w:t xml:space="preserve">Referencia: Protocolo de Seguro de Crédito </w:t>
      </w:r>
      <w:proofErr w:type="spellStart"/>
      <w:r>
        <w:t>Tokenizado</w:t>
      </w:r>
      <w:proofErr w:type="spellEnd"/>
      <w:r>
        <w:t xml:space="preserve"> (PSCT). Asiento Número 4 del Libro Diario de dicho protocolo.</w:t>
      </w:r>
    </w:p>
    <w:p w14:paraId="18BC0AB6" w14:textId="77777777" w:rsidR="00F638BD" w:rsidRDefault="00F638BD" w:rsidP="00F638BD">
      <w:r>
        <w:t>Descripción: El ciudadano paga su prima de seguro. La aseguradora registra el ingreso de la prima, cubre el riesgo técnico y destina una porción del spread actuarial neto al FSLD.</w:t>
      </w:r>
    </w:p>
    <w:p w14:paraId="00F3A364" w14:textId="77777777" w:rsidR="00F638BD" w:rsidRDefault="00F638BD" w:rsidP="00F638BD">
      <w:r>
        <w:t>Detalle del Débito (Aseguradora – Recaudación de Prima): Código de Cuenta: 1101. Nombre de la Cuenta: Efectivo y Equivalentes (Recaudación Fiat de Primas). Monto: Monto del Pago de la Prima.</w:t>
      </w:r>
    </w:p>
    <w:p w14:paraId="1DCFDA71" w14:textId="77777777" w:rsidR="00F638BD" w:rsidRDefault="00F638BD" w:rsidP="00F638BD">
      <w:r>
        <w:t>Detalle del Crédito (Aseguradora – Ingreso por Primas): Código de Cuenta: 4204. Nombre de la Cuenta: Ingreso por Primas de Seguro de Crédito. Monto: Porción de la Aseguradora.</w:t>
      </w:r>
    </w:p>
    <w:p w14:paraId="49FBF3D9" w14:textId="77777777" w:rsidR="00F638BD" w:rsidRDefault="00F638BD" w:rsidP="00F638BD">
      <w:r>
        <w:t>Detalle del Crédito (Aseguradora – Reserva Técnica): Código de Cuenta: 3112. Nombre de la Cuenta: Pasivo – Reserva para Pólizas de Seguro de Crédito (Fondo de Primas). Monto: Porción de la Reserva Técnica.</w:t>
      </w:r>
    </w:p>
    <w:p w14:paraId="61C6A628" w14:textId="77777777" w:rsidR="00F638BD" w:rsidRDefault="00F638BD" w:rsidP="00F638BD">
      <w:r>
        <w:t>Detalle del Crédito (Sistema – FSLD): Código de Cuenta: 3113. Nombre de la Cuenta: Pasivo – Fondo Soberano de Liquidación de Deuda (FSLD). Monto: Porción del Tesoro (Spread Actuarial Neto).</w:t>
      </w:r>
    </w:p>
    <w:p w14:paraId="1CE13848" w14:textId="77777777" w:rsidR="00F638BD" w:rsidRDefault="00F638BD" w:rsidP="00F638BD"/>
    <w:p w14:paraId="0738DD47" w14:textId="77777777" w:rsidR="00F638BD" w:rsidRDefault="00F638BD" w:rsidP="00F638BD">
      <w:r>
        <w:t>---</w:t>
      </w:r>
    </w:p>
    <w:p w14:paraId="2B8DAC55" w14:textId="77777777" w:rsidR="00F638BD" w:rsidRDefault="00F638BD" w:rsidP="00F638BD"/>
    <w:p w14:paraId="751913EA" w14:textId="77777777" w:rsidR="00F638BD" w:rsidRDefault="00F638BD" w:rsidP="00F638BD">
      <w:r>
        <w:t xml:space="preserve">Asiento Número 7.1 (Actualizado). Fecha: Diaria. Concepto: Captura del Spread del Bucle de Arbitraje de los 4 </w:t>
      </w:r>
      <w:proofErr w:type="spellStart"/>
      <w:r>
        <w:t>Criptobonos</w:t>
      </w:r>
      <w:proofErr w:type="spellEnd"/>
      <w:r>
        <w:t xml:space="preserve"> </w:t>
      </w:r>
      <w:proofErr w:type="spellStart"/>
      <w:r>
        <w:t>NFTs</w:t>
      </w:r>
      <w:proofErr w:type="spellEnd"/>
      <w:r>
        <w:t xml:space="preserve"> (Fuente 1) para el FSLD.</w:t>
      </w:r>
    </w:p>
    <w:p w14:paraId="5E1DEC72" w14:textId="77777777" w:rsidR="00F638BD" w:rsidRDefault="00F638BD" w:rsidP="00F638BD">
      <w:r>
        <w:t>Referencia: Documento 9 (TBAC), Capítulo 4. Documento de Asientos Contables Original del TBAC, Sección 3.4.</w:t>
      </w:r>
    </w:p>
    <w:p w14:paraId="3D04B5BE" w14:textId="77777777" w:rsidR="00F638BD" w:rsidRDefault="00F638BD" w:rsidP="00F638BD">
      <w:r>
        <w:t xml:space="preserve">Descripción: Se registra la porción de la ganancia neta del arbitraje diario de los </w:t>
      </w:r>
      <w:proofErr w:type="spellStart"/>
      <w:r>
        <w:t>Criptobonos</w:t>
      </w:r>
      <w:proofErr w:type="spellEnd"/>
      <w:r>
        <w:t xml:space="preserve"> destinada al FSLD (5% de la ganancia total).</w:t>
      </w:r>
    </w:p>
    <w:p w14:paraId="78BD1C2D" w14:textId="77777777" w:rsidR="00F638BD" w:rsidRDefault="00F638BD" w:rsidP="00F638BD">
      <w:r>
        <w:t xml:space="preserve">Detalle del Débito: Código de Cuenta: 5102. Nombre de la Cuenta: Ganancias por Arbitraje Regional (Distribución). Monto: 0.05 × Ganancia Total del Arbitraje Diario de los 4 </w:t>
      </w:r>
      <w:proofErr w:type="spellStart"/>
      <w:r>
        <w:t>Criptobonos</w:t>
      </w:r>
      <w:proofErr w:type="spellEnd"/>
      <w:r>
        <w:t>.</w:t>
      </w:r>
    </w:p>
    <w:p w14:paraId="09EEE89B" w14:textId="77777777" w:rsidR="00F638BD" w:rsidRDefault="00F638BD" w:rsidP="00F638BD">
      <w:r>
        <w:t xml:space="preserve">Detalle del Crédito: Código de Cuenta: 3113. Nombre de la Cuenta: Pasivo – Fondo Soberano de Liquidación de Deuda (FSLD). Monto: 0.05 × Ganancia Total del Arbitraje Diario de los 4 </w:t>
      </w:r>
      <w:proofErr w:type="spellStart"/>
      <w:r>
        <w:t>Criptobonos</w:t>
      </w:r>
      <w:proofErr w:type="spellEnd"/>
      <w:r>
        <w:t>.</w:t>
      </w:r>
    </w:p>
    <w:p w14:paraId="2D5E3855" w14:textId="77777777" w:rsidR="00F638BD" w:rsidRDefault="00F638BD" w:rsidP="00F638BD"/>
    <w:p w14:paraId="12A3ED4C" w14:textId="77777777" w:rsidR="00F638BD" w:rsidRDefault="00F638BD" w:rsidP="00F638BD">
      <w:r>
        <w:t xml:space="preserve">Asiento Número 7.2 (Actualizado). Fecha: Diaria. Concepto: Captura del Spread de </w:t>
      </w:r>
      <w:proofErr w:type="spellStart"/>
      <w:r>
        <w:t>Criptoacciones</w:t>
      </w:r>
      <w:proofErr w:type="spellEnd"/>
      <w:r>
        <w:t xml:space="preserve"> CIDA</w:t>
      </w:r>
      <w:r>
        <w:rPr>
          <w:rFonts w:ascii="Roboto" w:hAnsi="Roboto" w:cs="Roboto"/>
        </w:rPr>
        <w:t>‑</w:t>
      </w:r>
      <w:r>
        <w:t>R (Fuente 2) para el FSLD.</w:t>
      </w:r>
    </w:p>
    <w:p w14:paraId="35D33CF9" w14:textId="77777777" w:rsidR="00F638BD" w:rsidRDefault="00F638BD" w:rsidP="00F638BD">
      <w:r>
        <w:t>Referencia: Documento 7 (CIDA</w:t>
      </w:r>
      <w:r>
        <w:rPr>
          <w:rFonts w:ascii="Roboto" w:hAnsi="Roboto" w:cs="Roboto"/>
        </w:rPr>
        <w:t>‑</w:t>
      </w:r>
      <w:r>
        <w:t>R), Capítulo 2.</w:t>
      </w:r>
    </w:p>
    <w:p w14:paraId="03D6F76D" w14:textId="77777777" w:rsidR="00F638BD" w:rsidRDefault="00F638BD" w:rsidP="00F638BD">
      <w:r>
        <w:t>Descripción: Se redirige una porción del spread capturado en las transacciones secundarias de CIDA</w:t>
      </w:r>
      <w:r>
        <w:rPr>
          <w:rFonts w:ascii="Roboto" w:hAnsi="Roboto" w:cs="Roboto"/>
        </w:rPr>
        <w:t>‑</w:t>
      </w:r>
      <w:r>
        <w:t xml:space="preserve">R hacia el FSLD (5% del volumen diario </w:t>
      </w:r>
      <w:proofErr w:type="spellStart"/>
      <w:r>
        <w:t>transaccionado</w:t>
      </w:r>
      <w:proofErr w:type="spellEnd"/>
      <w:r>
        <w:t>).</w:t>
      </w:r>
    </w:p>
    <w:p w14:paraId="68DEB157" w14:textId="77777777" w:rsidR="00F638BD" w:rsidRDefault="00F638BD" w:rsidP="00F638BD">
      <w:r>
        <w:t>Detalle del Débito: Código de Cuenta: 1501. Nombre de la Cuenta: Activo – Fondo de Recompra de CIDA</w:t>
      </w:r>
      <w:r>
        <w:rPr>
          <w:rFonts w:ascii="Roboto" w:hAnsi="Roboto" w:cs="Roboto"/>
        </w:rPr>
        <w:t>‑</w:t>
      </w:r>
      <w:r>
        <w:t xml:space="preserve">R (Redirección Parcial). Monto: 0.05 × Volumen Total Diario </w:t>
      </w:r>
      <w:proofErr w:type="spellStart"/>
      <w:r>
        <w:t>Transaccionado</w:t>
      </w:r>
      <w:proofErr w:type="spellEnd"/>
      <w:r>
        <w:t xml:space="preserve"> en CIDA</w:t>
      </w:r>
      <w:r>
        <w:rPr>
          <w:rFonts w:ascii="Roboto" w:hAnsi="Roboto" w:cs="Roboto"/>
        </w:rPr>
        <w:t>‑</w:t>
      </w:r>
      <w:r>
        <w:t>R.</w:t>
      </w:r>
    </w:p>
    <w:p w14:paraId="42463EE8" w14:textId="77777777" w:rsidR="00F638BD" w:rsidRDefault="00F638BD" w:rsidP="00F638BD">
      <w:r>
        <w:t xml:space="preserve">Detalle del Crédito: Código de Cuenta: 3113. Nombre de la Cuenta: Pasivo – Fondo Soberano de Liquidación de Deuda (FSLD). Monto: 0.05 × Volumen Total Diario </w:t>
      </w:r>
      <w:proofErr w:type="spellStart"/>
      <w:r>
        <w:t>Transaccionado</w:t>
      </w:r>
      <w:proofErr w:type="spellEnd"/>
      <w:r>
        <w:t xml:space="preserve"> en CIDA</w:t>
      </w:r>
      <w:r>
        <w:rPr>
          <w:rFonts w:ascii="Roboto" w:hAnsi="Roboto" w:cs="Roboto"/>
        </w:rPr>
        <w:t>‑</w:t>
      </w:r>
      <w:r>
        <w:t>R.</w:t>
      </w:r>
    </w:p>
    <w:p w14:paraId="1BE81E21" w14:textId="77777777" w:rsidR="00F638BD" w:rsidRDefault="00F638BD" w:rsidP="00F638BD"/>
    <w:p w14:paraId="32D89548" w14:textId="77777777" w:rsidR="00F638BD" w:rsidRDefault="00F638BD" w:rsidP="00F638BD">
      <w:r>
        <w:t>---</w:t>
      </w:r>
    </w:p>
    <w:p w14:paraId="39E3B4F6" w14:textId="77777777" w:rsidR="00F638BD" w:rsidRDefault="00F638BD" w:rsidP="00F638BD"/>
    <w:p w14:paraId="6FA217FB" w14:textId="77777777" w:rsidR="00F638BD" w:rsidRDefault="00F638BD" w:rsidP="00F638BD">
      <w:r>
        <w:t>Asiento Número 7.5 (Actualizado – El Asiento de Liquidación Autónoma con Liberación de Garantía TBAC). Fecha: Diaria. Concepto: Liquidación Automática de Deuda Pública con Fondos del FSLD y Liberación de la Garantía TBAC.</w:t>
      </w:r>
    </w:p>
    <w:p w14:paraId="387EF77D" w14:textId="77777777" w:rsidR="00F638BD" w:rsidRDefault="00F638BD" w:rsidP="00F638BD">
      <w:r>
        <w:t>Referencia: Documento de Aplicación a EE.UU., Sección 9.2 (BCAS). Este es el asiento que cierra el BAS y la Garantía Soberana.</w:t>
      </w:r>
    </w:p>
    <w:p w14:paraId="79E94143" w14:textId="77777777" w:rsidR="00F638BD" w:rsidRDefault="00F638BD" w:rsidP="00F638BD">
      <w:r>
        <w:t xml:space="preserve">Descripción: El Smart </w:t>
      </w:r>
      <w:proofErr w:type="spellStart"/>
      <w:r>
        <w:t>Contract</w:t>
      </w:r>
      <w:proofErr w:type="spellEnd"/>
      <w:r>
        <w:t xml:space="preserve"> del TBAC utiliza el saldo acumulado en el FSLD para recomprar y extinguir una porción del </w:t>
      </w:r>
      <w:proofErr w:type="spellStart"/>
      <w:r>
        <w:t>Criptobono</w:t>
      </w:r>
      <w:proofErr w:type="spellEnd"/>
      <w:r>
        <w:t xml:space="preserve"> de Deuda Pública. Simultáneamente, libera y quema una cantidad equivalente de TBAC en Garantía, reduciendo la masa monetaria y ajustando el sistema.</w:t>
      </w:r>
    </w:p>
    <w:p w14:paraId="047992CA" w14:textId="77777777" w:rsidR="00F638BD" w:rsidRDefault="00F638BD" w:rsidP="00F638BD">
      <w:r>
        <w:t xml:space="preserve">Detalle del Débito (Extinción de Deuda): Código de Cuenta: 2101. Nombre de la Cuenta: Deuda Pública Federal (Pasivo Exigible – Saldo </w:t>
      </w:r>
      <w:proofErr w:type="spellStart"/>
      <w:r>
        <w:t>Tokenizado</w:t>
      </w:r>
      <w:proofErr w:type="spellEnd"/>
      <w:r>
        <w:t>). Monto: Saldo Disponible en el FSLD al momento de la ejecución diaria (Monto X).</w:t>
      </w:r>
    </w:p>
    <w:p w14:paraId="47011524" w14:textId="77777777" w:rsidR="00F638BD" w:rsidRDefault="00F638BD" w:rsidP="00F638BD">
      <w:r>
        <w:t>Detalle del Crédito (Utilización del FSLD): Código de Cuenta: 3113. Nombre de la Cuenta: Pasivo – Fondo Soberano de Liquidación de Deuda (FSLD). Monto: Saldo Disponible en el FSLD (Monto X).</w:t>
      </w:r>
    </w:p>
    <w:p w14:paraId="0F94E40B" w14:textId="77777777" w:rsidR="00F638BD" w:rsidRDefault="00F638BD" w:rsidP="00F638BD">
      <w:r>
        <w:t xml:space="preserve">Detalle del Débito (Cancelación del Activo – Quema del </w:t>
      </w:r>
      <w:proofErr w:type="spellStart"/>
      <w:r>
        <w:t>Criptobono</w:t>
      </w:r>
      <w:proofErr w:type="spellEnd"/>
      <w:r>
        <w:t xml:space="preserve">): Código de Cuenta: 2105. Nombre de la Cuenta: Pasivo Contingente por </w:t>
      </w:r>
      <w:proofErr w:type="spellStart"/>
      <w:r>
        <w:t>Tokenización</w:t>
      </w:r>
      <w:proofErr w:type="spellEnd"/>
      <w:r>
        <w:t xml:space="preserve"> de Pasivos Históricos USA. Monto: Monto X.</w:t>
      </w:r>
    </w:p>
    <w:p w14:paraId="5DFD24EE" w14:textId="77777777" w:rsidR="00F638BD" w:rsidRDefault="00F638BD" w:rsidP="00F638BD">
      <w:r>
        <w:t xml:space="preserve">Detalle del Crédito (Cancelación del Activo – Quema del </w:t>
      </w:r>
      <w:proofErr w:type="spellStart"/>
      <w:r>
        <w:t>Criptobono</w:t>
      </w:r>
      <w:proofErr w:type="spellEnd"/>
      <w:r>
        <w:t>): Código de Cuenta: 1301</w:t>
      </w:r>
      <w:r>
        <w:rPr>
          <w:rFonts w:ascii="Roboto" w:hAnsi="Roboto" w:cs="Roboto"/>
        </w:rPr>
        <w:t>‑</w:t>
      </w:r>
      <w:r>
        <w:t xml:space="preserve">DP. Nombre de la Cuenta: Activo – </w:t>
      </w:r>
      <w:proofErr w:type="spellStart"/>
      <w:r>
        <w:t>Criptobono</w:t>
      </w:r>
      <w:proofErr w:type="spellEnd"/>
      <w:r>
        <w:t xml:space="preserve"> NFT Deuda Pública (Cartera Colateral). Monto: Monto X.</w:t>
      </w:r>
    </w:p>
    <w:p w14:paraId="537E9B5F" w14:textId="77777777" w:rsidR="00F638BD" w:rsidRDefault="00F638BD" w:rsidP="00F638BD">
      <w:r>
        <w:t>Detalle del Débito (Liberación y Quema de la Garantía TBAC): Código de Cuenta: 3106. Nombre de la Cuenta: Capital Monetario Soberano – Emisión de Garantía TBAC. Monto: Monto X.</w:t>
      </w:r>
    </w:p>
    <w:p w14:paraId="3B1B6E58" w14:textId="77777777" w:rsidR="00F638BD" w:rsidRDefault="00F638BD" w:rsidP="00F638BD">
      <w:r>
        <w:t xml:space="preserve">Detalle del Crédito (Liberación y Quema de la Garantía TBAC): Código de Cuenta: 1109. Nombre de la Cuenta: Activo – TBAC en Garantía (Custodia del Smart </w:t>
      </w:r>
      <w:proofErr w:type="spellStart"/>
      <w:r>
        <w:t>Contract</w:t>
      </w:r>
      <w:proofErr w:type="spellEnd"/>
      <w:r>
        <w:t>). Monto: Monto X.</w:t>
      </w:r>
    </w:p>
    <w:p w14:paraId="2664EFDA" w14:textId="77777777" w:rsidR="00F638BD" w:rsidRDefault="00F638BD" w:rsidP="00F638BD"/>
    <w:p w14:paraId="0952356C" w14:textId="77777777" w:rsidR="00F638BD" w:rsidRDefault="00F638BD" w:rsidP="00F638BD">
      <w:r>
        <w:t>---</w:t>
      </w:r>
    </w:p>
    <w:p w14:paraId="31D81EB1" w14:textId="77777777" w:rsidR="00F638BD" w:rsidRDefault="00F638BD" w:rsidP="00F638BD"/>
    <w:p w14:paraId="4B1E3774" w14:textId="77777777" w:rsidR="00F638BD" w:rsidRDefault="00F638BD" w:rsidP="00F638BD">
      <w:r>
        <w:t>SECCIÓN IV: LIBRO MAYOR CONSOLIDADO DE LA GARANTÍA SOBERANA</w:t>
      </w:r>
    </w:p>
    <w:p w14:paraId="61423E19" w14:textId="77777777" w:rsidR="00F638BD" w:rsidRDefault="00F638BD" w:rsidP="00F638BD"/>
    <w:p w14:paraId="45552092" w14:textId="77777777" w:rsidR="00F638BD" w:rsidRDefault="00F638BD" w:rsidP="00F638BD">
      <w:r>
        <w:t xml:space="preserve">Cuenta 1109 – Activo – TBAC en Garantía (Custodia del Smart </w:t>
      </w:r>
      <w:proofErr w:type="spellStart"/>
      <w:r>
        <w:t>Contract</w:t>
      </w:r>
      <w:proofErr w:type="spellEnd"/>
      <w:r>
        <w:t>).</w:t>
      </w:r>
    </w:p>
    <w:p w14:paraId="6DCF528F" w14:textId="77777777" w:rsidR="00F638BD" w:rsidRDefault="00F638BD" w:rsidP="00F638BD">
      <w:r>
        <w:t>Saldo Inicial: USD 0.</w:t>
      </w:r>
    </w:p>
    <w:p w14:paraId="459F29C4" w14:textId="77777777" w:rsidR="00F638BD" w:rsidRDefault="00F638BD" w:rsidP="00F638BD">
      <w:r>
        <w:t>Movimientos Débito: Asiento 3.1 (Constitución de Garantía): USD 39,000,000,000,000 (Máximo acumulado).</w:t>
      </w:r>
    </w:p>
    <w:p w14:paraId="06121AC0" w14:textId="77777777" w:rsidR="00F638BD" w:rsidRDefault="00F638BD" w:rsidP="00F638BD">
      <w:r>
        <w:t>Movimientos Crédito: Asiento 7.5 (Liberación de Garantía por Liquidación de Deuda): USD 39,000,000,000,000.</w:t>
      </w:r>
    </w:p>
    <w:p w14:paraId="7F98E35B" w14:textId="77777777" w:rsidR="00F638BD" w:rsidRDefault="00F638BD" w:rsidP="00F638BD">
      <w:r>
        <w:t>Saldo Final: USD 0. Toda la garantía TBAC ha sido liberada y quemada al extinguirse la deuda subyacente.</w:t>
      </w:r>
    </w:p>
    <w:p w14:paraId="27570F53" w14:textId="77777777" w:rsidR="00F638BD" w:rsidRDefault="00F638BD" w:rsidP="00F638BD"/>
    <w:p w14:paraId="51F3A0F8" w14:textId="77777777" w:rsidR="00F638BD" w:rsidRDefault="00F638BD" w:rsidP="00F638BD">
      <w:r>
        <w:t>Cuenta 3106 – Capital Monetario Soberano – Emisión de Garantía TBAC.</w:t>
      </w:r>
    </w:p>
    <w:p w14:paraId="0A731E51" w14:textId="77777777" w:rsidR="00F638BD" w:rsidRDefault="00F638BD" w:rsidP="00F638BD">
      <w:r>
        <w:t>Saldo Inicial: USD 0.</w:t>
      </w:r>
    </w:p>
    <w:p w14:paraId="7D5EC331" w14:textId="77777777" w:rsidR="00F638BD" w:rsidRDefault="00F638BD" w:rsidP="00F638BD">
      <w:r>
        <w:t>Movimientos Crédito: Asiento 3.1 (Emisión para Garantía): USD 39,000,000,000,000.</w:t>
      </w:r>
    </w:p>
    <w:p w14:paraId="377330BA" w14:textId="77777777" w:rsidR="00F638BD" w:rsidRDefault="00F638BD" w:rsidP="00F638BD">
      <w:r>
        <w:t>Movimientos Débito: Asiento 7.5 (Quema de Garantía): USD 39,000,000,000,000.</w:t>
      </w:r>
    </w:p>
    <w:p w14:paraId="59212836" w14:textId="77777777" w:rsidR="00F638BD" w:rsidRDefault="00F638BD" w:rsidP="00F638BD">
      <w:r>
        <w:t>Saldo Final: USD 0. Esta cuenta refleja que la emisión de TBAC para garantía ha sido completamente neutralizada.</w:t>
      </w:r>
    </w:p>
    <w:p w14:paraId="681074E2" w14:textId="77777777" w:rsidR="00F638BD" w:rsidRDefault="00F638BD" w:rsidP="00F638BD"/>
    <w:p w14:paraId="5A60F710" w14:textId="77777777" w:rsidR="00F638BD" w:rsidRDefault="00F638BD" w:rsidP="00F638BD">
      <w:r>
        <w:t>Cuenta 3113 – Pasivo – Fondo Soberano de Liquidación de Deuda (FSLD).</w:t>
      </w:r>
    </w:p>
    <w:p w14:paraId="54F30F68" w14:textId="77777777" w:rsidR="00F638BD" w:rsidRDefault="00F638BD" w:rsidP="00F638BD">
      <w:r>
        <w:t>Saldo Inicial: USD 0.</w:t>
      </w:r>
    </w:p>
    <w:p w14:paraId="0BA2E685" w14:textId="77777777" w:rsidR="00F638BD" w:rsidRDefault="00F638BD" w:rsidP="00F638BD">
      <w:r>
        <w:t>Movimientos Crédito: Asientos 4.1, 4.2, 7.1, 7.2 (Flujo Diario de Spreads).</w:t>
      </w:r>
    </w:p>
    <w:p w14:paraId="037238B6" w14:textId="77777777" w:rsidR="00F638BD" w:rsidRDefault="00F638BD" w:rsidP="00F638BD">
      <w:r>
        <w:t>Movimientos Débito: Asiento 7.5 (Uso para Recompra de Deuda).</w:t>
      </w:r>
    </w:p>
    <w:p w14:paraId="4FF66107" w14:textId="77777777" w:rsidR="00F638BD" w:rsidRDefault="00F638BD" w:rsidP="00F638BD">
      <w:r>
        <w:t>Saldo Final: Flujo constante; se acumula y se gasta diariamente.</w:t>
      </w:r>
    </w:p>
    <w:p w14:paraId="39F52B40" w14:textId="77777777" w:rsidR="00F638BD" w:rsidRDefault="00F638BD" w:rsidP="00F638BD"/>
    <w:p w14:paraId="0D890AB3" w14:textId="77777777" w:rsidR="00F638BD" w:rsidRDefault="00F638BD" w:rsidP="00F638BD">
      <w:r>
        <w:t>Cuenta 2101 – Deuda Pública Federal (Pasivo Exigible).</w:t>
      </w:r>
    </w:p>
    <w:p w14:paraId="5D6C1D56" w14:textId="77777777" w:rsidR="00F638BD" w:rsidRDefault="00F638BD" w:rsidP="00F638BD">
      <w:r>
        <w:t>Saldo Inicial: USD 39,000,000,000,000.</w:t>
      </w:r>
    </w:p>
    <w:p w14:paraId="17AE61CF" w14:textId="77777777" w:rsidR="00F638BD" w:rsidRDefault="00F638BD" w:rsidP="00F638BD">
      <w:r>
        <w:t>Movimientos Débito: Asiento 7.5 (Liquidación Diaria Autónoma).</w:t>
      </w:r>
    </w:p>
    <w:p w14:paraId="17EAF574" w14:textId="77777777" w:rsidR="00F638BD" w:rsidRDefault="00F638BD" w:rsidP="00F638BD">
      <w:r>
        <w:t>Saldo Final: USD 0. La deuda ha sido liquidada sin desembolso del Tesoro.</w:t>
      </w:r>
    </w:p>
    <w:p w14:paraId="2BD71FE9" w14:textId="77777777" w:rsidR="00F638BD" w:rsidRDefault="00F638BD" w:rsidP="00F638BD"/>
    <w:p w14:paraId="76EFED08" w14:textId="77777777" w:rsidR="00F638BD" w:rsidRDefault="00F638BD" w:rsidP="00F638BD">
      <w:r>
        <w:t>Cuenta 1101 – Efectivo y Equivalentes (Cuenta del Tesoro).</w:t>
      </w:r>
    </w:p>
    <w:p w14:paraId="6D653F5E" w14:textId="77777777" w:rsidR="00F638BD" w:rsidRDefault="00F638BD" w:rsidP="00F638BD">
      <w:r>
        <w:t>Saldo: No ha sido afectado por los asientos del BAS. El Tesoro no ha gastado dinero de su caja fiscal.</w:t>
      </w:r>
    </w:p>
    <w:p w14:paraId="603CF5E7" w14:textId="77777777" w:rsidR="00F638BD" w:rsidRDefault="00F638BD" w:rsidP="00F638BD"/>
    <w:p w14:paraId="1DB28965" w14:textId="77777777" w:rsidR="00F638BD" w:rsidRDefault="00F638BD" w:rsidP="00F638BD">
      <w:r>
        <w:t>---</w:t>
      </w:r>
    </w:p>
    <w:p w14:paraId="654D9F70" w14:textId="77777777" w:rsidR="00F638BD" w:rsidRDefault="00F638BD" w:rsidP="00F638BD"/>
    <w:p w14:paraId="6DEA6AEB" w14:textId="77777777" w:rsidR="00F638BD" w:rsidRDefault="00F638BD" w:rsidP="00F638BD">
      <w:r>
        <w:t>CONCLUSIÓN FINAL DEL PROTOCOLO DE GARANTÍA SOBERANA</w:t>
      </w:r>
    </w:p>
    <w:p w14:paraId="5514B467" w14:textId="77777777" w:rsidR="00F638BD" w:rsidRDefault="00F638BD" w:rsidP="00F638BD"/>
    <w:p w14:paraId="1659B727" w14:textId="77777777" w:rsidR="00F638BD" w:rsidRDefault="00F638BD" w:rsidP="00F638BD">
      <w:r>
        <w:t xml:space="preserve">El presente documento ha demostrado, con precisión contable absoluta, que el Dólar Digital TBAC es la garantía de liquidación de los Depósitos de Crédito </w:t>
      </w:r>
      <w:proofErr w:type="spellStart"/>
      <w:r>
        <w:t>Tokenizados</w:t>
      </w:r>
      <w:proofErr w:type="spellEnd"/>
      <w:r>
        <w:t xml:space="preserve"> (DCT) de las tarjetas de crédito y las pólizas de seguro. Cada DCT emitido está respaldado por un TBAC bloqueado en custodia, el cual es liberado y quemado cuando los spreads generados por la actividad económica (tarjetas, pólizas, </w:t>
      </w:r>
      <w:proofErr w:type="spellStart"/>
      <w:r>
        <w:t>Criptobonos</w:t>
      </w:r>
      <w:proofErr w:type="spellEnd"/>
      <w:r>
        <w:t xml:space="preserve"> y CIDA</w:t>
      </w:r>
      <w:r>
        <w:rPr>
          <w:rFonts w:ascii="Roboto" w:hAnsi="Roboto" w:cs="Roboto"/>
        </w:rPr>
        <w:t>‑</w:t>
      </w:r>
      <w:r>
        <w:t xml:space="preserve">R) recompran los </w:t>
      </w:r>
      <w:proofErr w:type="spellStart"/>
      <w:r>
        <w:t>Criptobonos</w:t>
      </w:r>
      <w:proofErr w:type="spellEnd"/>
      <w:r>
        <w:t xml:space="preserve"> </w:t>
      </w:r>
      <w:proofErr w:type="spellStart"/>
      <w:r>
        <w:t>NFTs</w:t>
      </w:r>
      <w:proofErr w:type="spellEnd"/>
      <w:r>
        <w:t xml:space="preserve"> de Deuda Pública.</w:t>
      </w:r>
    </w:p>
    <w:p w14:paraId="0AD3FD95" w14:textId="77777777" w:rsidR="00F638BD" w:rsidRDefault="00F638BD" w:rsidP="00F638BD"/>
    <w:p w14:paraId="70D4CD82" w14:textId="01B3E944" w:rsidR="0069646F" w:rsidRDefault="00F638BD">
      <w:r>
        <w:t xml:space="preserve">El ciclo es perfecto y autónomo: el crédito al consumo genera actividad económica; esta actividad genera spreads; los spreads recompran los </w:t>
      </w:r>
      <w:proofErr w:type="spellStart"/>
      <w:r>
        <w:t>Criptobonos</w:t>
      </w:r>
      <w:proofErr w:type="spellEnd"/>
      <w:r>
        <w:t xml:space="preserve">; la recompra de los </w:t>
      </w:r>
      <w:proofErr w:type="spellStart"/>
      <w:r>
        <w:t>Criptobonos</w:t>
      </w:r>
      <w:proofErr w:type="spellEnd"/>
      <w:r>
        <w:t xml:space="preserve"> libera la garantía TBAC, que es destruida. La deuda pública se reduce a cero sin que el Tesoro haya desembolsado un solo centavo de su caja fiscal. El Dólar Digital TBAC cumple su función como núcleo de valor y garante último del sistema, validado por la Fórmula B y la velocidad de 1.3 </w:t>
      </w:r>
      <w:proofErr w:type="spellStart"/>
      <w:r>
        <w:t>femtosegundos</w:t>
      </w:r>
      <w:proofErr w:type="spellEnd"/>
      <w:r>
        <w:t xml:space="preserve"> de la Red </w:t>
      </w:r>
      <w:proofErr w:type="spellStart"/>
      <w:r>
        <w:t>Canton</w:t>
      </w:r>
      <w:proofErr w:type="spellEnd"/>
      <w:r>
        <w:t>.</w:t>
      </w:r>
    </w:p>
    <w:sectPr w:rsidR="0069646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46F"/>
    <w:rsid w:val="00127D53"/>
    <w:rsid w:val="004864FC"/>
    <w:rsid w:val="0069646F"/>
    <w:rsid w:val="00F638B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493DD2F"/>
  <w15:chartTrackingRefBased/>
  <w15:docId w15:val="{386FD612-2DDB-6D4E-A8D0-D20A5C4F4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6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6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64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64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64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64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64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64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64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4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64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64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64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64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64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64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64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646F"/>
    <w:rPr>
      <w:rFonts w:eastAsiaTheme="majorEastAsia" w:cstheme="majorBidi"/>
      <w:color w:val="272727" w:themeColor="text1" w:themeTint="D8"/>
    </w:rPr>
  </w:style>
  <w:style w:type="paragraph" w:styleId="Ttulo">
    <w:name w:val="Title"/>
    <w:basedOn w:val="Normal"/>
    <w:next w:val="Normal"/>
    <w:link w:val="TtuloCar"/>
    <w:uiPriority w:val="10"/>
    <w:qFormat/>
    <w:rsid w:val="00696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64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64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64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646F"/>
    <w:pPr>
      <w:spacing w:before="160"/>
      <w:jc w:val="center"/>
    </w:pPr>
    <w:rPr>
      <w:i/>
      <w:iCs/>
      <w:color w:val="404040" w:themeColor="text1" w:themeTint="BF"/>
    </w:rPr>
  </w:style>
  <w:style w:type="character" w:customStyle="1" w:styleId="CitaCar">
    <w:name w:val="Cita Car"/>
    <w:basedOn w:val="Fuentedeprrafopredeter"/>
    <w:link w:val="Cita"/>
    <w:uiPriority w:val="29"/>
    <w:rsid w:val="0069646F"/>
    <w:rPr>
      <w:i/>
      <w:iCs/>
      <w:color w:val="404040" w:themeColor="text1" w:themeTint="BF"/>
    </w:rPr>
  </w:style>
  <w:style w:type="paragraph" w:styleId="Prrafodelista">
    <w:name w:val="List Paragraph"/>
    <w:basedOn w:val="Normal"/>
    <w:uiPriority w:val="34"/>
    <w:qFormat/>
    <w:rsid w:val="0069646F"/>
    <w:pPr>
      <w:ind w:left="720"/>
      <w:contextualSpacing/>
    </w:pPr>
  </w:style>
  <w:style w:type="character" w:styleId="nfasisintenso">
    <w:name w:val="Intense Emphasis"/>
    <w:basedOn w:val="Fuentedeprrafopredeter"/>
    <w:uiPriority w:val="21"/>
    <w:qFormat/>
    <w:rsid w:val="0069646F"/>
    <w:rPr>
      <w:i/>
      <w:iCs/>
      <w:color w:val="0F4761" w:themeColor="accent1" w:themeShade="BF"/>
    </w:rPr>
  </w:style>
  <w:style w:type="paragraph" w:styleId="Citadestacada">
    <w:name w:val="Intense Quote"/>
    <w:basedOn w:val="Normal"/>
    <w:next w:val="Normal"/>
    <w:link w:val="CitadestacadaCar"/>
    <w:uiPriority w:val="30"/>
    <w:qFormat/>
    <w:rsid w:val="00696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646F"/>
    <w:rPr>
      <w:i/>
      <w:iCs/>
      <w:color w:val="0F4761" w:themeColor="accent1" w:themeShade="BF"/>
    </w:rPr>
  </w:style>
  <w:style w:type="character" w:styleId="Referenciaintensa">
    <w:name w:val="Intense Reference"/>
    <w:basedOn w:val="Fuentedeprrafopredeter"/>
    <w:uiPriority w:val="32"/>
    <w:qFormat/>
    <w:rsid w:val="006964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2366</Words>
  <Characters>13017</Characters>
  <Application>Microsoft Office Word</Application>
  <DocSecurity>0</DocSecurity>
  <Lines>108</Lines>
  <Paragraphs>30</Paragraphs>
  <ScaleCrop>false</ScaleCrop>
  <Company/>
  <LinksUpToDate>false</LinksUpToDate>
  <CharactersWithSpaces>15353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2026-05-01T20:34:00Z</dcterms:created>
  <dcterms:modified xsi:type="dcterms:W3CDTF">2026-05-01T20:34:00Z</dcterms:modified>
</cp:coreProperties>
</file>