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הגדרת-תפקיד-job-role-definition"/>
    <w:p>
      <w:pPr>
        <w:pStyle w:val="Heading1"/>
      </w:pPr>
      <w:r>
        <w:t xml:space="preserve">הגדרת תפקיד · Job / Role Definition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שם התפקיד / Role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[להשלמה / TO FILL: e.g. סמנכ”ל כספים (CFO)]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מיצוב / Positioning (one 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[להשלמה / TO FILL: the role’s</w:t>
            </w:r>
            <w:r>
              <w:t xml:space="preserve"> </w:t>
            </w:r>
            <w:r>
              <w:t xml:space="preserve">“</w:t>
            </w:r>
            <w:r>
              <w:t xml:space="preserve">arm</w:t>
            </w:r>
            <w:r>
              <w:t xml:space="preserve">”</w:t>
            </w:r>
            <w:r>
              <w:t xml:space="preserve">/function in one line]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כפיפות / Reports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[להשלמה / TO 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כפופים ישירים / Direct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[להשלמה / TO 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חטיבה /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[להשלמה / TO 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תאריך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[להשלמה / TO FILL]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ייעוד-התפקיד-role-purpose"/>
    <w:p>
      <w:pPr>
        <w:pStyle w:val="Heading2"/>
      </w:pPr>
      <w:r>
        <w:t xml:space="preserve">1. ייעוד התפקיד · Role Purpose</w:t>
      </w:r>
    </w:p>
    <w:p>
      <w:pPr>
        <w:pStyle w:val="BlockText"/>
      </w:pPr>
      <w:r>
        <w:rPr>
          <w:iCs/>
          <w:i/>
        </w:rPr>
        <w:t xml:space="preserve">Guidance: 1–3 short paragraphs. What the role owns end-to-end, its scope</w:t>
      </w:r>
      <w:r>
        <w:rPr>
          <w:iCs/>
          <w:i/>
        </w:rPr>
        <w:t xml:space="preserve"> </w:t>
      </w:r>
      <w:r>
        <w:rPr>
          <w:iCs/>
          <w:i/>
        </w:rPr>
        <w:t xml:space="preserve">across the business, who it partners with strategically, and the standard it is</w:t>
      </w:r>
      <w:r>
        <w:rPr>
          <w:iCs/>
          <w:i/>
        </w:rPr>
        <w:t xml:space="preserve"> </w:t>
      </w:r>
      <w:r>
        <w:rPr>
          <w:iCs/>
          <w:i/>
        </w:rPr>
        <w:t xml:space="preserve">held to. State the mandate, not a task list (tasks go in Section 2).</w:t>
      </w:r>
    </w:p>
    <w:p>
      <w:pPr>
        <w:pStyle w:val="FirstParagraph"/>
      </w:pPr>
      <w:r>
        <w:t xml:space="preserve">[להשלמה / TO FILL]</w:t>
      </w:r>
    </w:p>
    <w:p>
      <w:r>
        <w:pict>
          <v:rect style="width:0;height:1.5pt" o:hralign="center" o:hrstd="t" o:hr="t"/>
        </w:pict>
      </w:r>
    </w:p>
    <w:bookmarkEnd w:id="20"/>
    <w:bookmarkStart w:id="23" w:name="X121f918db49bcedc00c11464f237d8c82fb8d29"/>
    <w:p>
      <w:pPr>
        <w:pStyle w:val="Heading2"/>
      </w:pPr>
      <w:r>
        <w:t xml:space="preserve">2. תחומי אחריות מרכזיים · Key Responsibility Areas</w:t>
      </w:r>
    </w:p>
    <w:p>
      <w:pPr>
        <w:pStyle w:val="BlockText"/>
      </w:pPr>
      <w:r>
        <w:rPr>
          <w:iCs/>
          <w:i/>
        </w:rPr>
        <w:t xml:space="preserve">Guidance: This is the core of the document. Group responsibilities under</w:t>
      </w:r>
      <w:r>
        <w:rPr>
          <w:iCs/>
          <w:i/>
        </w:rPr>
        <w:t xml:space="preserve"> </w:t>
      </w:r>
      <w:r>
        <w:rPr>
          <w:iCs/>
          <w:i/>
        </w:rPr>
        <w:t xml:space="preserve">clear AREA headers (typically 4–8 areas). Under each, list concrete, ownable</w:t>
      </w:r>
      <w:r>
        <w:rPr>
          <w:iCs/>
          <w:i/>
        </w:rPr>
        <w:t xml:space="preserve"> </w:t>
      </w:r>
      <w:r>
        <w:rPr>
          <w:iCs/>
          <w:i/>
        </w:rPr>
        <w:t xml:space="preserve">duties. Repeat the block below per area.</w:t>
      </w:r>
    </w:p>
    <w:bookmarkStart w:id="21" w:name="X0bd9f6aeb9afee5be24a8ca74ac5e0df08196c0"/>
    <w:p>
      <w:pPr>
        <w:pStyle w:val="Heading3"/>
      </w:pPr>
      <w:r>
        <w:t xml:space="preserve">2.x [להשלמה / TO FILL: responsibility area name]</w:t>
      </w:r>
    </w:p>
    <w:p>
      <w:pPr>
        <w:numPr>
          <w:ilvl w:val="0"/>
          <w:numId w:val="1001"/>
        </w:numPr>
        <w:pStyle w:val="Compact"/>
      </w:pPr>
      <w:r>
        <w:t xml:space="preserve">[להשלמה / TO FILL: concrete duty]</w:t>
      </w:r>
    </w:p>
    <w:p>
      <w:pPr>
        <w:numPr>
          <w:ilvl w:val="0"/>
          <w:numId w:val="1001"/>
        </w:numPr>
        <w:pStyle w:val="Compact"/>
      </w:pPr>
      <w:r>
        <w:t xml:space="preserve">[להשלמה / TO FILL: concrete duty]</w:t>
      </w:r>
    </w:p>
    <w:p>
      <w:pPr>
        <w:numPr>
          <w:ilvl w:val="0"/>
          <w:numId w:val="1001"/>
        </w:numPr>
        <w:pStyle w:val="Compact"/>
      </w:pPr>
      <w:r>
        <w:t xml:space="preserve">[להשלמה / TO FILL: concrete duty]</w:t>
      </w:r>
    </w:p>
    <w:bookmarkEnd w:id="21"/>
    <w:bookmarkStart w:id="22" w:name="X070042046d692a35ffeb8354b40c8669ff36eb3"/>
    <w:p>
      <w:pPr>
        <w:pStyle w:val="Heading3"/>
      </w:pPr>
      <w:r>
        <w:t xml:space="preserve">2.x [להשלמה / TO FILL: responsibility area name]</w:t>
      </w:r>
    </w:p>
    <w:p>
      <w:pPr>
        <w:numPr>
          <w:ilvl w:val="0"/>
          <w:numId w:val="1002"/>
        </w:numPr>
        <w:pStyle w:val="Compact"/>
      </w:pPr>
      <w:r>
        <w:t xml:space="preserve">[להשלמה / TO FILL]</w:t>
      </w:r>
    </w:p>
    <w:p>
      <w:pPr>
        <w:numPr>
          <w:ilvl w:val="0"/>
          <w:numId w:val="1002"/>
        </w:numPr>
        <w:pStyle w:val="Compact"/>
      </w:pPr>
      <w:r>
        <w:t xml:space="preserve">[להשלמה / TO FILL]</w:t>
      </w:r>
    </w:p>
    <w:p>
      <w:pPr>
        <w:pStyle w:val="FirstParagraph"/>
      </w:pPr>
      <w:r>
        <w:rPr>
          <w:iCs/>
          <w:i/>
        </w:rPr>
        <w:t xml:space="preserve">(Duplicate 2.x for each additional area.)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ממשקים-מרכזיים-key-interfaces-optional"/>
    <w:p>
      <w:pPr>
        <w:pStyle w:val="Heading2"/>
      </w:pPr>
      <w:r>
        <w:t xml:space="preserve">3. ממשקים מרכזיים · Key Interfaces</w:t>
      </w:r>
      <w:r>
        <w:t xml:space="preserve"> </w:t>
      </w:r>
      <w:r>
        <w:rPr>
          <w:iCs/>
          <w:i/>
        </w:rPr>
        <w:t xml:space="preserve">(optional)</w:t>
      </w:r>
    </w:p>
    <w:p>
      <w:pPr>
        <w:pStyle w:val="BlockText"/>
      </w:pPr>
      <w:r>
        <w:rPr>
          <w:iCs/>
          <w:i/>
        </w:rPr>
        <w:t xml:space="preserve">Guidance: Internal and external parties this role works with regularly, and</w:t>
      </w:r>
      <w:r>
        <w:rPr>
          <w:iCs/>
          <w:i/>
        </w:rPr>
        <w:t xml:space="preserve"> </w:t>
      </w:r>
      <w:r>
        <w:rPr>
          <w:iCs/>
          <w:i/>
        </w:rPr>
        <w:t xml:space="preserve">the purpose of each interface.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גורם / Party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פנימי/חיצוני (Internal/External)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מטרת הממשק / 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</w:tbl>
    <w:bookmarkEnd w:id="24"/>
    <w:bookmarkStart w:id="25" w:name="מדדי-הצלחה-success-metrics-kpis-optional"/>
    <w:p>
      <w:pPr>
        <w:pStyle w:val="Heading2"/>
      </w:pPr>
      <w:r>
        <w:t xml:space="preserve">4. מדדי הצלחה · Success Metrics / KPIs</w:t>
      </w:r>
      <w:r>
        <w:t xml:space="preserve"> </w:t>
      </w:r>
      <w:r>
        <w:rPr>
          <w:iCs/>
          <w:i/>
        </w:rPr>
        <w:t xml:space="preserve">(optional)</w:t>
      </w:r>
    </w:p>
    <w:p>
      <w:pPr>
        <w:pStyle w:val="BlockText"/>
      </w:pPr>
      <w:r>
        <w:rPr>
          <w:iCs/>
          <w:i/>
        </w:rPr>
        <w:t xml:space="preserve">Guidance: How performance in this role is measured. Tie to the org’s KPI set</w:t>
      </w:r>
      <w:r>
        <w:rPr>
          <w:iCs/>
          <w:i/>
        </w:rPr>
        <w:t xml:space="preserve"> </w:t>
      </w:r>
      <w:r>
        <w:rPr>
          <w:iCs/>
          <w:i/>
        </w:rPr>
        <w:t xml:space="preserve">once that template exists. Keep measurable.</w:t>
      </w:r>
    </w:p>
    <w:p>
      <w:pPr>
        <w:numPr>
          <w:ilvl w:val="0"/>
          <w:numId w:val="1003"/>
        </w:numPr>
        <w:pStyle w:val="Compact"/>
      </w:pPr>
      <w:r>
        <w:t xml:space="preserve">[להשלמה / TO FILL: KPI + target/cadence]</w:t>
      </w:r>
    </w:p>
    <w:p>
      <w:pPr>
        <w:numPr>
          <w:ilvl w:val="0"/>
          <w:numId w:val="1003"/>
        </w:numPr>
        <w:pStyle w:val="Compact"/>
      </w:pPr>
      <w:r>
        <w:t xml:space="preserve">[להשלמה / TO FILL]</w:t>
      </w:r>
    </w:p>
    <w:bookmarkEnd w:id="25"/>
    <w:bookmarkStart w:id="26" w:name="Xbc0bd111e29688f413a4f4399cc5cf1660922ba"/>
    <w:p>
      <w:pPr>
        <w:pStyle w:val="Heading2"/>
      </w:pPr>
      <w:r>
        <w:t xml:space="preserve">5. כישורים ודרישות · Qualifications &amp; Requirements</w:t>
      </w:r>
      <w:r>
        <w:t xml:space="preserve"> </w:t>
      </w:r>
      <w:r>
        <w:rPr>
          <w:iCs/>
          <w:i/>
        </w:rPr>
        <w:t xml:space="preserve">(optional)</w:t>
      </w:r>
    </w:p>
    <w:p>
      <w:pPr>
        <w:pStyle w:val="BlockText"/>
      </w:pPr>
      <w:r>
        <w:rPr>
          <w:iCs/>
          <w:i/>
        </w:rPr>
        <w:t xml:space="preserve">Guidance: Education, professional experience, domain expertise, and core</w:t>
      </w:r>
      <w:r>
        <w:rPr>
          <w:iCs/>
          <w:i/>
        </w:rPr>
        <w:t xml:space="preserve"> </w:t>
      </w:r>
      <w:r>
        <w:rPr>
          <w:iCs/>
          <w:i/>
        </w:rPr>
        <w:t xml:space="preserve">competencies required. Separate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must have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from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advantage</w:t>
      </w:r>
      <w:r>
        <w:rPr>
          <w:iCs/>
          <w:i/>
        </w:rPr>
        <w:t xml:space="preserve">”</w:t>
      </w:r>
      <w:r>
        <w:rPr>
          <w:iCs/>
          <w:i/>
        </w:rP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חובה / Required:</w:t>
      </w:r>
      <w:r>
        <w:t xml:space="preserve"> </w:t>
      </w:r>
      <w:r>
        <w:t xml:space="preserve">[להשלמה / TO FILL]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יתרון / Advantage:</w:t>
      </w:r>
      <w:r>
        <w:t xml:space="preserve"> </w:t>
      </w:r>
      <w:r>
        <w:t xml:space="preserve">[להשלמה / TO FILL]</w:t>
      </w:r>
    </w:p>
    <w:bookmarkEnd w:id="26"/>
    <w:bookmarkStart w:id="27" w:name="X8e437d4dbde8f4c27e4a43ac449025fc665135c"/>
    <w:p>
      <w:pPr>
        <w:pStyle w:val="Heading2"/>
      </w:pPr>
      <w:r>
        <w:t xml:space="preserve">6. סמכויות וגבולות החלטה · Authority &amp; Decision Boundaries</w:t>
      </w:r>
      <w:r>
        <w:t xml:space="preserve"> </w:t>
      </w:r>
      <w:r>
        <w:rPr>
          <w:iCs/>
          <w:i/>
        </w:rPr>
        <w:t xml:space="preserve">(optional)</w:t>
      </w:r>
    </w:p>
    <w:p>
      <w:pPr>
        <w:pStyle w:val="BlockText"/>
      </w:pPr>
      <w:r>
        <w:rPr>
          <w:iCs/>
          <w:i/>
        </w:rPr>
        <w:t xml:space="preserve">Guidance: What this role decides alone vs. recommends vs. escalates. Mirrors</w:t>
      </w:r>
      <w:r>
        <w:rPr>
          <w:iCs/>
          <w:i/>
        </w:rPr>
        <w:t xml:space="preserve"> </w:t>
      </w:r>
      <w:r>
        <w:rPr>
          <w:iCs/>
          <w:i/>
        </w:rPr>
        <w:t xml:space="preserve">the Always / Ask-first / Escalate logic.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מחליט עצמאית / Decides:</w:t>
      </w:r>
      <w:r>
        <w:t xml:space="preserve"> </w:t>
      </w:r>
      <w:r>
        <w:t xml:space="preserve">[להשלמה / TO FILL]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ממליץ / Recommends:</w:t>
      </w:r>
      <w:r>
        <w:t xml:space="preserve"> </w:t>
      </w:r>
      <w:r>
        <w:t xml:space="preserve">[להשלמה / TO FILL]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מסלים / Escalates:</w:t>
      </w:r>
      <w:r>
        <w:t xml:space="preserve"> </w:t>
      </w:r>
      <w:r>
        <w:t xml:space="preserve">[להשלמה / TO FILL]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  <w:jc w:val="right"/>
    </w:pPr>
    <w:rPr>
      <w:rtl/>
      <w:rFonts w:cs="David"/>
    </w:rPr>
  </w:style>
  <w:style w:styleId="BodyText" w:type="paragraph">
    <w:name w:val="Body Text"/>
    <w:basedOn w:val="Normal"/>
    <w:link w:val="BodyTextChar"/>
    <w:pPr>
      <w:spacing w:after="180" w:before="180"/>
      <w:bidi/>
      <w:jc w:val="right"/>
    </w:pPr>
    <w:qFormat/>
    <w:rPr>
      <w:rtl/>
      <w:rFonts w:cs="David"/>
    </w:rPr>
  </w:style>
  <w:style w:customStyle="1" w:styleId="FirstParagraph" w:type="paragraph">
    <w:name w:val="First Paragraph"/>
    <w:basedOn w:val="BodyText"/>
    <w:next w:val="BodyText"/>
    <w:qFormat/>
    <w:pPr>
      <w:bidi/>
      <w:jc w:val="right"/>
    </w:pPr>
    <w:rPr>
      <w:rtl/>
      <w:rFonts w:cs="David"/>
    </w:rPr>
  </w:style>
  <w:style w:customStyle="1" w:styleId="Compact" w:type="paragraph">
    <w:name w:val="Compact"/>
    <w:basedOn w:val="BodyText"/>
    <w:qFormat/>
    <w:pPr>
      <w:spacing w:after="36" w:before="36"/>
      <w:bidi/>
      <w:jc w:val="right"/>
    </w:pPr>
    <w:rPr>
      <w:rtl/>
      <w:rFonts w:cs="David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right"/>
      <w:bidi/>
    </w:pPr>
    <w:rPr>
      <w:rFonts w:asciiTheme="majorHAnsi" w:cs="David" w:cstheme="majorBidi" w:eastAsiaTheme="majorEastAsia" w:hAnsiTheme="majorHAnsi"/>
      <w:b/>
      <w:bCs/>
      <w:color w:themeColor="accent1" w:themeShade="B5" w:val="345A8A"/>
      <w:sz w:val="36"/>
      <w:szCs w:val="36"/>
      <w:rtl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right"/>
      <w:bidi/>
    </w:pPr>
    <w:rPr>
      <w:sz w:val="30"/>
      <w:szCs w:val="30"/>
      <w:rtl/>
      <w:rFonts w:cs="David"/>
    </w:rPr>
  </w:style>
  <w:style w:customStyle="1" w:styleId="Author" w:type="paragraph">
    <w:name w:val="Author"/>
    <w:next w:val="BodyText"/>
    <w:qFormat/>
    <w:pPr>
      <w:keepNext/>
      <w:keepLines/>
      <w:jc w:val="right"/>
      <w:bidi/>
    </w:pPr>
    <w:rPr>
      <w:rtl/>
      <w:rFonts w:cs="David"/>
    </w:rPr>
  </w:style>
  <w:style w:styleId="Date" w:type="paragraph">
    <w:name w:val="Date"/>
    <w:next w:val="BodyText"/>
    <w:qFormat/>
    <w:pPr>
      <w:keepNext/>
      <w:keepLines/>
      <w:jc w:val="right"/>
      <w:bidi/>
    </w:pPr>
    <w:rPr>
      <w:rtl/>
      <w:rFonts w:cs="David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right"/>
      <w:spacing w:after="0" w:before="300"/>
      <w:bidi/>
    </w:pPr>
    <w:rPr>
      <w:sz w:val="20"/>
      <w:szCs w:val="20"/>
      <w:b/>
      <w:color w:val="345A8A"/>
      &gt;
      <w:rtl/>
      <w:rFonts w:cs="David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bidi/>
      <w:jc w:val="right"/>
    </w:pPr>
    <w:rPr>
      <w:sz w:val="20"/>
      <w:szCs w:val="20"/>
      <w:rtl/>
      <w:rFonts w:cs="David"/>
    </w:rPr>
  </w:style>
  <w:style w:styleId="Bibliography" w:type="paragraph">
    <w:name w:val="Bibliography"/>
    <w:basedOn w:val="Normal"/>
    <w:next w:val="Bibliography"/>
    <w:qFormat/>
    <w:pPr>
      <w:bidi/>
      <w:jc w:val="right"/>
    </w:pPr>
    <w:rPr>
      <w:rtl/>
      <w:rFonts w:cs="David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32"/>
      <w:szCs w:val="32"/>
      <w:rtl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8"/>
      <w:szCs w:val="28"/>
      <w:rtl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4"/>
      <w:szCs w:val="24"/>
      <w:rtl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  <w:bidi/>
      <w:jc w:val="right"/>
    </w:pPr>
    <w:rPr>
      <w:rFonts w:asciiTheme="majorHAnsi" w:cs="David" w:cstheme="majorBidi" w:eastAsiaTheme="majorEastAsia" w:hAnsiTheme="majorHAnsi"/>
      <w:i/>
      <w:bCs/>
      <w:color w:themeColor="accent1" w:val="4F81BD"/>
      <w:sz w:val="24"/>
      <w:szCs w:val="24"/>
      <w:rtl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  <w:bidi/>
      <w:jc w:val="right"/>
    </w:pPr>
    <w:rPr>
      <w:rFonts w:asciiTheme="majorHAnsi" w:cs="David" w:cstheme="majorBidi" w:eastAsiaTheme="majorEastAsia" w:hAnsiTheme="majorHAnsi"/>
      <w:iCs/>
      <w:color w:themeColor="accent1" w:val="4F81BD"/>
      <w:sz w:val="24"/>
      <w:szCs w:val="24"/>
      <w:rtl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bidi/>
      <w:jc w:val="right"/>
    </w:pPr>
    <w:rPr>
      <w:rtl/>
      <w:rFonts w:cs="David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bidi/>
      <w:jc w:val="right"/>
    </w:pPr>
    <w:rPr>
      <w:rtl/>
      <w:rFonts w:cs="David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bidi/>
      <w:jc w:val="right"/>
    </w:pPr>
    <w:rPr>
      <w:b/>
      <w:rtl/>
      <w:rFonts w:cs="David"/>
    </w:rPr>
  </w:style>
  <w:style w:customStyle="1" w:styleId="Definition" w:type="paragraph">
    <w:name w:val="Definition"/>
    <w:basedOn w:val="Normal"/>
    <w:pPr>
      <w:bidi/>
      <w:jc w:val="right"/>
    </w:pPr>
    <w:rPr>
      <w:rtl/>
      <w:rFonts w:cs="David"/>
    </w:rPr>
  </w:style>
  <w:style w:styleId="Caption" w:type="paragraph">
    <w:name w:val="Caption"/>
    <w:basedOn w:val="Normal"/>
    <w:link w:val="BodyTextChar"/>
    <w:pPr>
      <w:spacing w:after="120" w:before="0"/>
      <w:bidi/>
      <w:jc w:val="right"/>
    </w:pPr>
    <w:rPr>
      <w:i/>
      <w:rtl/>
      <w:rFonts w:cs="David"/>
    </w:rPr>
  </w:style>
  <w:style w:customStyle="1" w:styleId="TableCaption" w:type="paragraph">
    <w:name w:val="Table Caption"/>
    <w:basedOn w:val="Caption"/>
    <w:pPr>
      <w:keepNext/>
      <w:bidi/>
      <w:jc w:val="right"/>
    </w:pPr>
    <w:rPr>
      <w:rtl/>
      <w:rFonts w:cs="David"/>
    </w:rPr>
  </w:style>
  <w:style w:customStyle="1" w:styleId="ImageCaption" w:type="paragraph">
    <w:name w:val="Image Caption"/>
    <w:basedOn w:val="Caption"/>
    <w:pPr>
      <w:bidi/>
      <w:jc w:val="right"/>
    </w:pPr>
    <w:rPr>
      <w:rtl/>
      <w:rFonts w:cs="David"/>
    </w:rPr>
  </w:style>
  <w:style w:customStyle="1" w:styleId="Figure" w:type="paragraph">
    <w:name w:val="Figure"/>
    <w:basedOn w:val="Normal"/>
    <w:pPr>
      <w:bidi/>
      <w:jc w:val="right"/>
    </w:pPr>
    <w:rPr>
      <w:rtl/>
      <w:rFonts w:cs="David"/>
    </w:rPr>
  </w:style>
  <w:style w:customStyle="1" w:styleId="CaptionedFigure" w:type="paragraph">
    <w:name w:val="Captioned Figure"/>
    <w:basedOn w:val="Figure"/>
    <w:pPr>
      <w:keepNext/>
      <w:bidi/>
      <w:jc w:val="right"/>
    </w:pPr>
    <w:rPr>
      <w:rtl/>
      <w:rFonts w:cs="David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/>
      <w:jc w:val="right"/>
    </w:pPr>
    <w:rPr>
      <w:rFonts w:asciiTheme="majorHAnsi" w:cs="David" w:cstheme="majorBidi" w:eastAsiaTheme="majorEastAsia" w:hAnsiTheme="majorHAnsi"/>
      <w:b w:val="0"/>
      <w:bCs w:val="0"/>
      <w:color w:themeColor="accent1" w:themeShade="BF" w:val="365F91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2026-05-28T14:17:05Z</dcterms:created>
  <dcterms:modified xsi:type="dcterms:W3CDTF">2026-05-28T14:17:05Z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