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מבנה-ארגוני-organizational-structure"/>
    <w:p>
      <w:pPr>
        <w:pStyle w:val="Heading1"/>
      </w:pPr>
      <w:r>
        <w:t xml:space="preserve">מבנה ארגוני · Organizational Structure</w:t>
      </w:r>
    </w:p>
    <w:p>
      <w:pPr>
        <w:pStyle w:val="FirstParagraph"/>
      </w:pPr>
      <w:r>
        <w:rPr>
          <w:bCs/>
          <w:b/>
        </w:rPr>
        <w:t xml:space="preserve">חברה / Company:</w:t>
      </w:r>
      <w:r>
        <w:t xml:space="preserve"> </w:t>
      </w:r>
      <w:r>
        <w:t xml:space="preserve">[להשלמה / TO FILL] ·</w:t>
      </w:r>
      <w:r>
        <w:t xml:space="preserve"> </w:t>
      </w:r>
      <w:r>
        <w:rPr>
          <w:bCs/>
          <w:b/>
        </w:rPr>
        <w:t xml:space="preserve">תאריך / Date:</w:t>
      </w:r>
      <w:r>
        <w:t xml:space="preserve"> </w:t>
      </w:r>
      <w:r>
        <w:t xml:space="preserve">[להשלמה / TO FILL] ·</w:t>
      </w:r>
      <w:r>
        <w:t xml:space="preserve"> </w:t>
      </w:r>
      <w:r>
        <w:rPr>
          <w:bCs/>
          <w:b/>
        </w:rPr>
        <w:t xml:space="preserve">סיווג / Classification:</w:t>
      </w:r>
      <w:r>
        <w:t xml:space="preserve"> </w:t>
      </w:r>
      <w:r>
        <w:t xml:space="preserve">חסוי (Confidential)</w:t>
      </w:r>
    </w:p>
    <w:p>
      <w:r>
        <w:pict>
          <v:rect style="width:0;height:1.5pt" o:hralign="center" o:hrstd="t" o:hr="t"/>
        </w:pict>
      </w:r>
    </w:p>
    <w:bookmarkStart w:id="20" w:name="עקרונות-המבנה-structuring-principles"/>
    <w:p>
      <w:pPr>
        <w:pStyle w:val="Heading2"/>
      </w:pPr>
      <w:r>
        <w:t xml:space="preserve">1. עקרונות המבנה · Structuring Principles</w:t>
      </w:r>
    </w:p>
    <w:p>
      <w:pPr>
        <w:pStyle w:val="BlockText"/>
      </w:pPr>
      <w:r>
        <w:rPr>
          <w:iCs/>
          <w:i/>
        </w:rPr>
        <w:t xml:space="preserve">Guidance: 2–4 principles that shape the design (e.g. separation of growth</w:t>
      </w:r>
      <w:r>
        <w:rPr>
          <w:iCs/>
          <w:i/>
        </w:rPr>
        <w:t xml:space="preserve"> </w:t>
      </w:r>
      <w:r>
        <w:rPr>
          <w:iCs/>
          <w:i/>
        </w:rPr>
        <w:t xml:space="preserve">engines from the cash-flow base; lean HQ; clear single-owner accountability).</w:t>
      </w:r>
    </w:p>
    <w:p>
      <w:pPr>
        <w:numPr>
          <w:ilvl w:val="0"/>
          <w:numId w:val="1001"/>
        </w:numPr>
        <w:pStyle w:val="Compact"/>
      </w:pPr>
      <w:r>
        <w:t xml:space="preserve">[להשלמה / TO FILL]</w:t>
      </w:r>
    </w:p>
    <w:p>
      <w:pPr>
        <w:numPr>
          <w:ilvl w:val="0"/>
          <w:numId w:val="1001"/>
        </w:numPr>
        <w:pStyle w:val="Compact"/>
      </w:pPr>
      <w:r>
        <w:t xml:space="preserve">[להשלמה / TO FILL]</w:t>
      </w:r>
    </w:p>
    <w:bookmarkEnd w:id="20"/>
    <w:bookmarkStart w:id="21" w:name="שכבת-הממשל-governance-layer"/>
    <w:p>
      <w:pPr>
        <w:pStyle w:val="Heading2"/>
      </w:pPr>
      <w:r>
        <w:t xml:space="preserve">2. שכבת הממשל · Governance Layer</w:t>
      </w:r>
    </w:p>
    <w:p>
      <w:pPr>
        <w:pStyle w:val="BlockText"/>
      </w:pPr>
      <w:r>
        <w:rPr>
          <w:iCs/>
          <w:i/>
        </w:rPr>
        <w:t xml:space="preserve">Guidance: Board, board committees, and their mandates. Keep to oversight, not</w:t>
      </w:r>
      <w:r>
        <w:rPr>
          <w:iCs/>
          <w:i/>
        </w:rPr>
        <w:t xml:space="preserve"> </w:t>
      </w:r>
      <w:r>
        <w:rPr>
          <w:iCs/>
          <w:i/>
        </w:rPr>
        <w:t xml:space="preserve">management.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גוף / 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תפקיד / Mandate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הרכב / Composition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דירקטוריון / 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ועדת ביקורת / Audit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[TO FILL: other committee]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</w:tr>
    </w:tbl>
    <w:bookmarkEnd w:id="21"/>
    <w:bookmarkStart w:id="22" w:name="תרשים-ארגוני-org-chart-hierarchy"/>
    <w:p>
      <w:pPr>
        <w:pStyle w:val="Heading2"/>
      </w:pPr>
      <w:r>
        <w:t xml:space="preserve">3. תרשים ארגוני · Org Chart (hierarchy)</w:t>
      </w:r>
    </w:p>
    <w:p>
      <w:pPr>
        <w:pStyle w:val="BlockText"/>
      </w:pPr>
      <w:r>
        <w:rPr>
          <w:iCs/>
          <w:i/>
        </w:rPr>
        <w:t xml:space="preserve">Guidance: Represent the hierarchy as an indented tree. Each leaf = a role with</w:t>
      </w:r>
      <w:r>
        <w:rPr>
          <w:iCs/>
          <w:i/>
        </w:rPr>
        <w:t xml:space="preserve"> </w:t>
      </w:r>
      <w:r>
        <w:rPr>
          <w:iCs/>
          <w:i/>
        </w:rPr>
        <w:t xml:space="preserve">a Job/Role Definition. Render to a visual chart on delivery.</w:t>
      </w:r>
    </w:p>
    <w:p>
      <w:pPr>
        <w:pStyle w:val="SourceCode"/>
      </w:pPr>
      <w:r>
        <w:rPr>
          <w:rStyle w:val="VerbatimChar"/>
        </w:rPr>
        <w:t xml:space="preserve">מנכ"ל / CEO</w:t>
      </w:r>
      <w:r>
        <w:br/>
      </w:r>
      <w:r>
        <w:rPr>
          <w:rStyle w:val="VerbatimChar"/>
        </w:rPr>
        <w:t xml:space="preserve">├── [TO FILL: VP / סמנכ"ל] — [function]</w:t>
      </w:r>
      <w:r>
        <w:br/>
      </w:r>
      <w:r>
        <w:rPr>
          <w:rStyle w:val="VerbatimChar"/>
        </w:rPr>
        <w:t xml:space="preserve">│   ├── [TO FILL: unit/role]</w:t>
      </w:r>
      <w:r>
        <w:br/>
      </w:r>
      <w:r>
        <w:rPr>
          <w:rStyle w:val="VerbatimChar"/>
        </w:rPr>
        <w:t xml:space="preserve">│   └── [TO FILL: unit/role]</w:t>
      </w:r>
      <w:r>
        <w:br/>
      </w:r>
      <w:r>
        <w:rPr>
          <w:rStyle w:val="VerbatimChar"/>
        </w:rPr>
        <w:t xml:space="preserve">├── [TO FILL: VP / סמנכ"ל] — [function]</w:t>
      </w:r>
      <w:r>
        <w:br/>
      </w:r>
      <w:r>
        <w:rPr>
          <w:rStyle w:val="VerbatimChar"/>
        </w:rPr>
        <w:t xml:space="preserve">│   └── [TO FILL: unit/role]</w:t>
      </w:r>
      <w:r>
        <w:br/>
      </w:r>
      <w:r>
        <w:rPr>
          <w:rStyle w:val="VerbatimChar"/>
        </w:rPr>
        <w:t xml:space="preserve">└── [TO FILL: VP / סמנכ"ל] — [function]</w:t>
      </w:r>
    </w:p>
    <w:bookmarkEnd w:id="22"/>
    <w:bookmarkStart w:id="23" w:name="חטיבות-ופונקציות-divisions-functions"/>
    <w:p>
      <w:pPr>
        <w:pStyle w:val="Heading2"/>
      </w:pPr>
      <w:r>
        <w:t xml:space="preserve">4. חטיבות ופונקציות · Divisions &amp; Functions</w:t>
      </w:r>
    </w:p>
    <w:p>
      <w:pPr>
        <w:pStyle w:val="BlockText"/>
      </w:pPr>
      <w:r>
        <w:rPr>
          <w:iCs/>
          <w:i/>
        </w:rPr>
        <w:t xml:space="preserve">Guidance: One row per division/function: its mandate, its leader’s role, and</w:t>
      </w:r>
      <w:r>
        <w:rPr>
          <w:iCs/>
          <w:i/>
        </w:rPr>
        <w:t xml:space="preserve"> </w:t>
      </w:r>
      <w:r>
        <w:rPr>
          <w:iCs/>
          <w:i/>
        </w:rPr>
        <w:t xml:space="preserve">whether it is a growth engine, the cash-flow base, or a support arm.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חטיבה /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מנהל / Leader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סוג / Type (engine / base / support)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מנדט / Mandate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</w:tr>
    </w:tbl>
    <w:bookmarkEnd w:id="23"/>
    <w:bookmarkStart w:id="24" w:name="Xaea599fb1739feb359ae529d6c399bbc3e8aec1"/>
    <w:p>
      <w:pPr>
        <w:pStyle w:val="Heading2"/>
      </w:pPr>
      <w:r>
        <w:t xml:space="preserve">5. קווי כפיפות ומוטת שליטה · Reporting Lines &amp; Spans of Control</w:t>
      </w:r>
    </w:p>
    <w:p>
      <w:pPr>
        <w:pStyle w:val="BlockText"/>
      </w:pPr>
      <w:r>
        <w:rPr>
          <w:iCs/>
          <w:i/>
        </w:rPr>
        <w:t xml:space="preserve">Guidance: Note any matrix/dotted-line relationships and the span of control</w:t>
      </w:r>
      <w:r>
        <w:rPr>
          <w:iCs/>
          <w:i/>
        </w:rPr>
        <w:t xml:space="preserve"> </w:t>
      </w:r>
      <w:r>
        <w:rPr>
          <w:iCs/>
          <w:i/>
        </w:rPr>
        <w:t xml:space="preserve">(direct reports) per executive. Flag overloads (&gt;7–8) or thin layers.</w:t>
      </w:r>
    </w:p>
    <w:p>
      <w:pPr>
        <w:numPr>
          <w:ilvl w:val="0"/>
          <w:numId w:val="1002"/>
        </w:numPr>
        <w:pStyle w:val="Compact"/>
      </w:pPr>
      <w:r>
        <w:t xml:space="preserve">[להשלמה / TO FILL: role → reports to → # direct reports; dotted lines]</w:t>
      </w:r>
    </w:p>
    <w:p>
      <w:pPr>
        <w:numPr>
          <w:ilvl w:val="0"/>
          <w:numId w:val="1002"/>
        </w:numPr>
        <w:pStyle w:val="Compact"/>
      </w:pPr>
      <w:r>
        <w:t xml:space="preserve">[להשלמה / TO FILL]</w:t>
      </w:r>
    </w:p>
    <w:bookmarkEnd w:id="24"/>
    <w:bookmarkStart w:id="25" w:name="Xca5f2a3630597a8e93408daaeda2778fd1511bb"/>
    <w:p>
      <w:pPr>
        <w:pStyle w:val="Heading2"/>
      </w:pPr>
      <w:r>
        <w:t xml:space="preserve">6. מטריצת סמכויות · Delegation of Authority (DoA)</w:t>
      </w:r>
    </w:p>
    <w:p>
      <w:pPr>
        <w:pStyle w:val="BlockText"/>
      </w:pPr>
      <w:r>
        <w:rPr>
          <w:iCs/>
          <w:i/>
        </w:rPr>
        <w:t xml:space="preserve">Guidance: Who can decide what, up to what threshold, and what escalates to the</w:t>
      </w:r>
      <w:r>
        <w:rPr>
          <w:iCs/>
          <w:i/>
        </w:rPr>
        <w:t xml:space="preserve"> </w:t>
      </w:r>
      <w:r>
        <w:rPr>
          <w:iCs/>
          <w:i/>
        </w:rPr>
        <w:t xml:space="preserve">board. Align with each role’s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Authority &amp; Decision Boundaries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section.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נושא / Matter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מחליט / Decides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סף /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הסלמה ל- / Escalates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</w:tr>
    </w:tbl>
    <w:bookmarkEnd w:id="25"/>
    <w:bookmarkStart w:id="26" w:name="תקן-כוח-אדם-headcount-plan-optional"/>
    <w:p>
      <w:pPr>
        <w:pStyle w:val="Heading2"/>
      </w:pPr>
      <w:r>
        <w:t xml:space="preserve">7. תקן כוח אדם · Headcount Plan</w:t>
      </w:r>
      <w:r>
        <w:t xml:space="preserve"> </w:t>
      </w:r>
      <w:r>
        <w:rPr>
          <w:iCs/>
          <w:i/>
        </w:rPr>
        <w:t xml:space="preserve">(optional)</w:t>
      </w:r>
    </w:p>
    <w:p>
      <w:pPr>
        <w:pStyle w:val="BlockText"/>
      </w:pPr>
      <w:r>
        <w:rPr>
          <w:iCs/>
          <w:i/>
        </w:rPr>
        <w:t xml:space="preserve">Guidance: Current vs. planned headcount per division across the horizon.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חטיבה /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נוכחי / 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יעד /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אופק / Horizon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</w:tr>
    </w:tbl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  <w:jc w:val="right"/>
    </w:pPr>
    <w:rPr>
      <w:rtl/>
      <w:rFonts w:cs="David"/>
    </w:rPr>
  </w:style>
  <w:style w:styleId="BodyText" w:type="paragraph">
    <w:name w:val="Body Text"/>
    <w:basedOn w:val="Normal"/>
    <w:link w:val="BodyTextChar"/>
    <w:pPr>
      <w:spacing w:after="180" w:before="180"/>
      <w:bidi/>
      <w:jc w:val="right"/>
    </w:pPr>
    <w:qFormat/>
    <w:rPr>
      <w:rtl/>
      <w:rFonts w:cs="David"/>
    </w:rPr>
  </w:style>
  <w:style w:customStyle="1" w:styleId="FirstParagraph" w:type="paragraph">
    <w:name w:val="First Paragraph"/>
    <w:basedOn w:val="BodyText"/>
    <w:next w:val="BodyText"/>
    <w:qFormat/>
    <w:pPr>
      <w:bidi/>
      <w:jc w:val="right"/>
    </w:pPr>
    <w:rPr>
      <w:rtl/>
      <w:rFonts w:cs="David"/>
    </w:rPr>
  </w:style>
  <w:style w:customStyle="1" w:styleId="Compact" w:type="paragraph">
    <w:name w:val="Compact"/>
    <w:basedOn w:val="BodyText"/>
    <w:qFormat/>
    <w:pPr>
      <w:spacing w:after="36" w:before="36"/>
      <w:bidi/>
      <w:jc w:val="right"/>
    </w:pPr>
    <w:rPr>
      <w:rtl/>
      <w:rFonts w:cs="David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right"/>
      <w:bidi/>
    </w:pPr>
    <w:rPr>
      <w:rFonts w:asciiTheme="majorHAnsi" w:cs="David" w:cstheme="majorBidi" w:eastAsiaTheme="majorEastAsia" w:hAnsiTheme="majorHAnsi"/>
      <w:b/>
      <w:bCs/>
      <w:color w:themeColor="accent1" w:themeShade="B5" w:val="345A8A"/>
      <w:sz w:val="36"/>
      <w:szCs w:val="36"/>
      <w:rtl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right"/>
      <w:bidi/>
    </w:pPr>
    <w:rPr>
      <w:sz w:val="30"/>
      <w:szCs w:val="30"/>
      <w:rtl/>
      <w:rFonts w:cs="David"/>
    </w:rPr>
  </w:style>
  <w:style w:customStyle="1" w:styleId="Author" w:type="paragraph">
    <w:name w:val="Author"/>
    <w:next w:val="BodyText"/>
    <w:qFormat/>
    <w:pPr>
      <w:keepNext/>
      <w:keepLines/>
      <w:jc w:val="right"/>
      <w:bidi/>
    </w:pPr>
    <w:rPr>
      <w:rtl/>
      <w:rFonts w:cs="David"/>
    </w:rPr>
  </w:style>
  <w:style w:styleId="Date" w:type="paragraph">
    <w:name w:val="Date"/>
    <w:next w:val="BodyText"/>
    <w:qFormat/>
    <w:pPr>
      <w:keepNext/>
      <w:keepLines/>
      <w:jc w:val="right"/>
      <w:bidi/>
    </w:pPr>
    <w:rPr>
      <w:rtl/>
      <w:rFonts w:cs="David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right"/>
      <w:spacing w:after="0" w:before="300"/>
      <w:bidi/>
    </w:pPr>
    <w:rPr>
      <w:sz w:val="20"/>
      <w:szCs w:val="20"/>
      <w:b/>
      <w:color w:val="345A8A"/>
      &gt;
      <w:rtl/>
      <w:rFonts w:cs="David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bidi/>
      <w:jc w:val="right"/>
    </w:pPr>
    <w:rPr>
      <w:sz w:val="20"/>
      <w:szCs w:val="20"/>
      <w:rtl/>
      <w:rFonts w:cs="David"/>
    </w:rPr>
  </w:style>
  <w:style w:styleId="Bibliography" w:type="paragraph">
    <w:name w:val="Bibliography"/>
    <w:basedOn w:val="Normal"/>
    <w:next w:val="Bibliography"/>
    <w:qFormat/>
    <w:pPr>
      <w:bidi/>
      <w:jc w:val="right"/>
    </w:pPr>
    <w:rPr>
      <w:rtl/>
      <w:rFonts w:cs="David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32"/>
      <w:szCs w:val="32"/>
      <w:rtl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28"/>
      <w:szCs w:val="28"/>
      <w:rtl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24"/>
      <w:szCs w:val="24"/>
      <w:rtl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  <w:bidi/>
      <w:jc w:val="right"/>
    </w:pPr>
    <w:rPr>
      <w:rFonts w:asciiTheme="majorHAnsi" w:cs="David" w:cstheme="majorBidi" w:eastAsiaTheme="majorEastAsia" w:hAnsiTheme="majorHAnsi"/>
      <w:i/>
      <w:bCs/>
      <w:color w:themeColor="accent1" w:val="4F81BD"/>
      <w:sz w:val="24"/>
      <w:szCs w:val="24"/>
      <w:rtl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  <w:bidi/>
      <w:jc w:val="right"/>
    </w:pPr>
    <w:rPr>
      <w:rFonts w:asciiTheme="majorHAnsi" w:cs="David" w:cstheme="majorBidi" w:eastAsiaTheme="majorEastAsia" w:hAnsiTheme="majorHAnsi"/>
      <w:iCs/>
      <w:color w:themeColor="accent1" w:val="4F81BD"/>
      <w:sz w:val="24"/>
      <w:szCs w:val="24"/>
      <w:rtl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bidi/>
      <w:jc w:val="right"/>
    </w:pPr>
    <w:rPr>
      <w:rtl/>
      <w:rFonts w:cs="David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bidi/>
      <w:jc w:val="right"/>
    </w:pPr>
    <w:rPr>
      <w:rtl/>
      <w:rFonts w:cs="David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  <w:bidi/>
      <w:jc w:val="right"/>
    </w:pPr>
    <w:rPr>
      <w:b/>
      <w:rtl/>
      <w:rFonts w:cs="David"/>
    </w:rPr>
  </w:style>
  <w:style w:customStyle="1" w:styleId="Definition" w:type="paragraph">
    <w:name w:val="Definition"/>
    <w:basedOn w:val="Normal"/>
    <w:pPr>
      <w:bidi/>
      <w:jc w:val="right"/>
    </w:pPr>
    <w:rPr>
      <w:rtl/>
      <w:rFonts w:cs="David"/>
    </w:rPr>
  </w:style>
  <w:style w:styleId="Caption" w:type="paragraph">
    <w:name w:val="Caption"/>
    <w:basedOn w:val="Normal"/>
    <w:link w:val="BodyTextChar"/>
    <w:pPr>
      <w:spacing w:after="120" w:before="0"/>
      <w:bidi/>
      <w:jc w:val="right"/>
    </w:pPr>
    <w:rPr>
      <w:i/>
      <w:rtl/>
      <w:rFonts w:cs="David"/>
    </w:rPr>
  </w:style>
  <w:style w:customStyle="1" w:styleId="TableCaption" w:type="paragraph">
    <w:name w:val="Table Caption"/>
    <w:basedOn w:val="Caption"/>
    <w:pPr>
      <w:keepNext/>
      <w:bidi/>
      <w:jc w:val="right"/>
    </w:pPr>
    <w:rPr>
      <w:rtl/>
      <w:rFonts w:cs="David"/>
    </w:rPr>
  </w:style>
  <w:style w:customStyle="1" w:styleId="ImageCaption" w:type="paragraph">
    <w:name w:val="Image Caption"/>
    <w:basedOn w:val="Caption"/>
    <w:pPr>
      <w:bidi/>
      <w:jc w:val="right"/>
    </w:pPr>
    <w:rPr>
      <w:rtl/>
      <w:rFonts w:cs="David"/>
    </w:rPr>
  </w:style>
  <w:style w:customStyle="1" w:styleId="Figure" w:type="paragraph">
    <w:name w:val="Figure"/>
    <w:basedOn w:val="Normal"/>
    <w:pPr>
      <w:bidi/>
      <w:jc w:val="right"/>
    </w:pPr>
    <w:rPr>
      <w:rtl/>
      <w:rFonts w:cs="David"/>
    </w:rPr>
  </w:style>
  <w:style w:customStyle="1" w:styleId="CaptionedFigure" w:type="paragraph">
    <w:name w:val="Captioned Figure"/>
    <w:basedOn w:val="Figure"/>
    <w:pPr>
      <w:keepNext/>
      <w:bidi/>
      <w:jc w:val="right"/>
    </w:pPr>
    <w:rPr>
      <w:rtl/>
      <w:rFonts w:cs="David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bidi/>
      <w:jc w:val="right"/>
    </w:pPr>
    <w:rPr>
      <w:rFonts w:asciiTheme="majorHAnsi" w:cs="David" w:cstheme="majorBidi" w:eastAsiaTheme="majorEastAsia" w:hAnsiTheme="majorHAnsi"/>
      <w:b w:val="0"/>
      <w:bCs w:val="0"/>
      <w:color w:themeColor="accent1" w:themeShade="BF" w:val="365F91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2026-05-28T14:17:05Z</dcterms:created>
  <dcterms:modified xsi:type="dcterms:W3CDTF">2026-05-28T14:17:05Z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