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תהליך-עבודה-נוהל-workflow-sop"/>
    <w:p>
      <w:pPr>
        <w:pStyle w:val="Heading1"/>
      </w:pPr>
      <w:r>
        <w:t xml:space="preserve">תהליך עבודה / נוהל · Workflow / SOP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שם התהליך / Process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[להשלמה / TO FILL]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בעל התהליך / Process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[להשלמה / TO FILL: single role]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מטרה /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[להשלמה / TO FILL]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תחולה /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[להשלמה / TO FILL: where it applies / boundaries]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טריגר /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[להשלמה / TO FILL: what starts it]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תדירות /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[להשלמה / TO FILL]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גרסה / Version · תאריך /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FILL] · [TO FILL]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כניסות-ופלטים-inputs-outputs"/>
    <w:p>
      <w:pPr>
        <w:pStyle w:val="Heading2"/>
      </w:pPr>
      <w:r>
        <w:t xml:space="preserve">1. כניסות ופלטים · Inputs &amp; Outputs</w:t>
      </w:r>
    </w:p>
    <w:p>
      <w:pPr>
        <w:pStyle w:val="BlockText"/>
      </w:pPr>
      <w:r>
        <w:rPr>
          <w:iCs/>
          <w:i/>
        </w:rPr>
        <w:t xml:space="preserve">Guidance: What the process consumes and produces. Be specific (documents,</w:t>
      </w:r>
      <w:r>
        <w:rPr>
          <w:iCs/>
          <w:i/>
        </w:rPr>
        <w:t xml:space="preserve"> </w:t>
      </w:r>
      <w:r>
        <w:rPr>
          <w:iCs/>
          <w:i/>
        </w:rPr>
        <w:t xml:space="preserve">approvals, data, systems).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כניסות / Inputs:</w:t>
      </w:r>
      <w:r>
        <w:t xml:space="preserve"> </w:t>
      </w:r>
      <w:r>
        <w:t xml:space="preserve">[להשלמה / TO FILL]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פלטים / Outputs:</w:t>
      </w:r>
      <w:r>
        <w:t xml:space="preserve"> </w:t>
      </w:r>
      <w:r>
        <w:t xml:space="preserve">[להשלמה / TO FILL]</w:t>
      </w:r>
    </w:p>
    <w:bookmarkEnd w:id="20"/>
    <w:bookmarkStart w:id="21" w:name="תפקידים-raci-roles-raci"/>
    <w:p>
      <w:pPr>
        <w:pStyle w:val="Heading2"/>
      </w:pPr>
      <w:r>
        <w:t xml:space="preserve">2. תפקידים (RACI) · Roles (RACI)</w:t>
      </w:r>
    </w:p>
    <w:p>
      <w:pPr>
        <w:pStyle w:val="BlockText"/>
      </w:pPr>
      <w:r>
        <w:rPr>
          <w:iCs/>
          <w:i/>
        </w:rPr>
        <w:t xml:space="preserve">Guidance: Responsible (does it), Accountable (owns it — exactly one), Consulted,</w:t>
      </w:r>
      <w:r>
        <w:rPr>
          <w:iCs/>
          <w:i/>
        </w:rPr>
        <w:t xml:space="preserve"> </w:t>
      </w:r>
      <w:r>
        <w:rPr>
          <w:iCs/>
          <w:i/>
        </w:rPr>
        <w:t xml:space="preserve">Informed. Map to real roles.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תפקיד /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שלבי-התהליך-process-steps"/>
    <w:p>
      <w:pPr>
        <w:pStyle w:val="Heading2"/>
      </w:pPr>
      <w:r>
        <w:t xml:space="preserve">3. שלבי התהליך · Process Steps</w:t>
      </w:r>
    </w:p>
    <w:p>
      <w:pPr>
        <w:pStyle w:val="BlockText"/>
      </w:pPr>
      <w:r>
        <w:rPr>
          <w:iCs/>
          <w:i/>
        </w:rPr>
        <w:t xml:space="preserve">Guidance: Number each step. One responsible role per step. Note the system/tool,</w:t>
      </w:r>
      <w:r>
        <w:rPr>
          <w:iCs/>
          <w:i/>
        </w:rPr>
        <w:t xml:space="preserve"> </w:t>
      </w:r>
      <w:r>
        <w:rPr>
          <w:iCs/>
          <w:i/>
        </w:rPr>
        <w:t xml:space="preserve">the output, and an SLA/timing where relevant.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שלב /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אחראי / 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מערכת/כלי /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פלט /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[TO FILL]</w:t>
            </w:r>
          </w:p>
        </w:tc>
      </w:tr>
    </w:tbl>
    <w:bookmarkEnd w:id="22"/>
    <w:bookmarkStart w:id="23" w:name="בקרות-ונקודות-אישור-controls-checkpoints"/>
    <w:p>
      <w:pPr>
        <w:pStyle w:val="Heading2"/>
      </w:pPr>
      <w:r>
        <w:t xml:space="preserve">4. בקרות ונקודות אישור · Controls &amp; Checkpoints</w:t>
      </w:r>
    </w:p>
    <w:p>
      <w:pPr>
        <w:pStyle w:val="BlockText"/>
      </w:pPr>
      <w:r>
        <w:rPr>
          <w:iCs/>
          <w:i/>
        </w:rPr>
        <w:t xml:space="preserve">Guidance: Mandatory approvals, segregation of duties, quality gates.</w:t>
      </w:r>
    </w:p>
    <w:p>
      <w:pPr>
        <w:numPr>
          <w:ilvl w:val="0"/>
          <w:numId w:val="1002"/>
        </w:numPr>
        <w:pStyle w:val="Compact"/>
      </w:pPr>
      <w:r>
        <w:t xml:space="preserve">[להשלמה / TO FILL: checkpoint — control — approver]</w:t>
      </w:r>
    </w:p>
    <w:p>
      <w:pPr>
        <w:numPr>
          <w:ilvl w:val="0"/>
          <w:numId w:val="1002"/>
        </w:numPr>
        <w:pStyle w:val="Compact"/>
      </w:pPr>
      <w:r>
        <w:t xml:space="preserve">[להשלמה / TO FILL]</w:t>
      </w:r>
    </w:p>
    <w:bookmarkEnd w:id="23"/>
    <w:bookmarkStart w:id="24" w:name="חריגים-והסלמה-exceptions-escalation"/>
    <w:p>
      <w:pPr>
        <w:pStyle w:val="Heading2"/>
      </w:pPr>
      <w:r>
        <w:t xml:space="preserve">5. חריגים והסלמה · Exceptions &amp; Escalation</w:t>
      </w:r>
    </w:p>
    <w:p>
      <w:pPr>
        <w:pStyle w:val="BlockText"/>
      </w:pPr>
      <w:r>
        <w:rPr>
          <w:iCs/>
          <w:i/>
        </w:rPr>
        <w:t xml:space="preserve">Guidance: What to do when the happy path breaks, and who decides.</w:t>
      </w:r>
    </w:p>
    <w:p>
      <w:pPr>
        <w:numPr>
          <w:ilvl w:val="0"/>
          <w:numId w:val="1003"/>
        </w:numPr>
        <w:pStyle w:val="Compact"/>
      </w:pPr>
      <w:r>
        <w:t xml:space="preserve">[להשלמה / TO FILL: exception → action → escalate to]</w:t>
      </w:r>
    </w:p>
    <w:p>
      <w:pPr>
        <w:numPr>
          <w:ilvl w:val="0"/>
          <w:numId w:val="1003"/>
        </w:numPr>
        <w:pStyle w:val="Compact"/>
      </w:pPr>
      <w:r>
        <w:t xml:space="preserve">[להשלמה / TO FILL]</w:t>
      </w:r>
    </w:p>
    <w:bookmarkEnd w:id="24"/>
    <w:bookmarkStart w:id="25" w:name="מדדי-תהליך-process-kpis"/>
    <w:p>
      <w:pPr>
        <w:pStyle w:val="Heading2"/>
      </w:pPr>
      <w:r>
        <w:t xml:space="preserve">6. מדדי תהליך · Process KPIs</w:t>
      </w:r>
    </w:p>
    <w:p>
      <w:pPr>
        <w:pStyle w:val="BlockText"/>
      </w:pPr>
      <w:r>
        <w:rPr>
          <w:iCs/>
          <w:i/>
        </w:rPr>
        <w:t xml:space="preserve">Guidance: How this process is measured (cycle time, error rate, throughput,</w:t>
      </w:r>
      <w:r>
        <w:rPr>
          <w:iCs/>
          <w:i/>
        </w:rPr>
        <w:t xml:space="preserve"> </w:t>
      </w:r>
      <w:r>
        <w:rPr>
          <w:iCs/>
          <w:i/>
        </w:rPr>
        <w:t xml:space="preserve">SLA adherence). Link to the KPI template.</w:t>
      </w:r>
    </w:p>
    <w:p>
      <w:pPr>
        <w:numPr>
          <w:ilvl w:val="0"/>
          <w:numId w:val="1004"/>
        </w:numPr>
        <w:pStyle w:val="Compact"/>
      </w:pPr>
      <w:r>
        <w:t xml:space="preserve">[להשלמה / TO FILL: KPI + target]</w:t>
      </w:r>
    </w:p>
    <w:p>
      <w:pPr>
        <w:numPr>
          <w:ilvl w:val="0"/>
          <w:numId w:val="1004"/>
        </w:numPr>
        <w:pStyle w:val="Compact"/>
      </w:pPr>
      <w:r>
        <w:t xml:space="preserve">[להשלמה / TO FILL]</w:t>
      </w:r>
    </w:p>
    <w:bookmarkEnd w:id="25"/>
    <w:bookmarkStart w:id="26" w:name="Xc18d4f7ea65bf8dbc810c3751accc7b752ea3f1"/>
    <w:p>
      <w:pPr>
        <w:pStyle w:val="Heading2"/>
      </w:pPr>
      <w:r>
        <w:t xml:space="preserve">7. מסמכים ומערכות קשורים · Related Documents &amp; Systems</w:t>
      </w:r>
      <w:r>
        <w:t xml:space="preserve"> </w:t>
      </w:r>
      <w:r>
        <w:rPr>
          <w:iCs/>
          <w:i/>
        </w:rPr>
        <w:t xml:space="preserve">(optional)</w:t>
      </w:r>
    </w:p>
    <w:p>
      <w:pPr>
        <w:numPr>
          <w:ilvl w:val="0"/>
          <w:numId w:val="1005"/>
        </w:numPr>
        <w:pStyle w:val="Compact"/>
      </w:pPr>
      <w:r>
        <w:t xml:space="preserve">[להשלמה / TO FILL]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  <w:jc w:val="right"/>
    </w:pPr>
    <w:rPr>
      <w:rtl/>
      <w:rFonts w:cs="David"/>
    </w:rPr>
  </w:style>
  <w:style w:styleId="BodyText" w:type="paragraph">
    <w:name w:val="Body Text"/>
    <w:basedOn w:val="Normal"/>
    <w:link w:val="BodyTextChar"/>
    <w:pPr>
      <w:spacing w:after="180" w:before="180"/>
      <w:bidi/>
      <w:jc w:val="right"/>
    </w:pPr>
    <w:qFormat/>
    <w:rPr>
      <w:rtl/>
      <w:rFonts w:cs="David"/>
    </w:rPr>
  </w:style>
  <w:style w:customStyle="1" w:styleId="FirstParagraph" w:type="paragraph">
    <w:name w:val="First Paragraph"/>
    <w:basedOn w:val="BodyText"/>
    <w:next w:val="BodyText"/>
    <w:qFormat/>
    <w:pPr>
      <w:bidi/>
      <w:jc w:val="right"/>
    </w:pPr>
    <w:rPr>
      <w:rtl/>
      <w:rFonts w:cs="David"/>
    </w:rPr>
  </w:style>
  <w:style w:customStyle="1" w:styleId="Compact" w:type="paragraph">
    <w:name w:val="Compact"/>
    <w:basedOn w:val="BodyText"/>
    <w:qFormat/>
    <w:pPr>
      <w:spacing w:after="36" w:before="36"/>
      <w:bidi/>
      <w:jc w:val="right"/>
    </w:pPr>
    <w:rPr>
      <w:rtl/>
      <w:rFonts w:cs="David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right"/>
      <w:bidi/>
    </w:pPr>
    <w:rPr>
      <w:rFonts w:asciiTheme="majorHAnsi" w:cs="David" w:cstheme="majorBidi" w:eastAsiaTheme="majorEastAsia" w:hAnsiTheme="majorHAnsi"/>
      <w:b/>
      <w:bCs/>
      <w:color w:themeColor="accent1" w:themeShade="B5" w:val="345A8A"/>
      <w:sz w:val="36"/>
      <w:szCs w:val="36"/>
      <w:rtl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right"/>
      <w:bidi/>
    </w:pPr>
    <w:rPr>
      <w:sz w:val="30"/>
      <w:szCs w:val="30"/>
      <w:rtl/>
      <w:rFonts w:cs="David"/>
    </w:rPr>
  </w:style>
  <w:style w:customStyle="1" w:styleId="Author" w:type="paragraph">
    <w:name w:val="Author"/>
    <w:next w:val="BodyText"/>
    <w:qFormat/>
    <w:pPr>
      <w:keepNext/>
      <w:keepLines/>
      <w:jc w:val="right"/>
      <w:bidi/>
    </w:pPr>
    <w:rPr>
      <w:rtl/>
      <w:rFonts w:cs="David"/>
    </w:rPr>
  </w:style>
  <w:style w:styleId="Date" w:type="paragraph">
    <w:name w:val="Date"/>
    <w:next w:val="BodyText"/>
    <w:qFormat/>
    <w:pPr>
      <w:keepNext/>
      <w:keepLines/>
      <w:jc w:val="right"/>
      <w:bidi/>
    </w:pPr>
    <w:rPr>
      <w:rtl/>
      <w:rFonts w:cs="David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right"/>
      <w:spacing w:after="0" w:before="300"/>
      <w:bidi/>
    </w:pPr>
    <w:rPr>
      <w:sz w:val="20"/>
      <w:szCs w:val="20"/>
      <w:b/>
      <w:color w:val="345A8A"/>
      &gt;
      <w:rtl/>
      <w:rFonts w:cs="David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bidi/>
      <w:jc w:val="right"/>
    </w:pPr>
    <w:rPr>
      <w:sz w:val="20"/>
      <w:szCs w:val="20"/>
      <w:rtl/>
      <w:rFonts w:cs="David"/>
    </w:rPr>
  </w:style>
  <w:style w:styleId="Bibliography" w:type="paragraph">
    <w:name w:val="Bibliography"/>
    <w:basedOn w:val="Normal"/>
    <w:next w:val="Bibliography"/>
    <w:qFormat/>
    <w:pPr>
      <w:bidi/>
      <w:jc w:val="right"/>
    </w:pPr>
    <w:rPr>
      <w:rtl/>
      <w:rFonts w:cs="David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  <w:bidi/>
      <w:jc w:val="right"/>
    </w:pPr>
    <w:rPr>
      <w:rFonts w:asciiTheme="majorHAnsi" w:cs="David" w:cstheme="majorBidi" w:eastAsiaTheme="majorEastAsia" w:hAnsiTheme="majorHAnsi"/>
      <w:b/>
      <w:bCs/>
      <w:color w:themeColor="accent1" w:val="4F81BD"/>
      <w:sz w:val="32"/>
      <w:szCs w:val="32"/>
      <w:rtl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  <w:bidi/>
      <w:jc w:val="right"/>
    </w:pPr>
    <w:rPr>
      <w:rFonts w:asciiTheme="majorHAnsi" w:cs="David" w:cstheme="majorBidi" w:eastAsiaTheme="majorEastAsia" w:hAnsiTheme="majorHAnsi"/>
      <w:b/>
      <w:bCs/>
      <w:color w:themeColor="accent1" w:val="4F81BD"/>
      <w:sz w:val="28"/>
      <w:szCs w:val="28"/>
      <w:rtl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  <w:bidi/>
      <w:jc w:val="right"/>
    </w:pPr>
    <w:rPr>
      <w:rFonts w:asciiTheme="majorHAnsi" w:cs="David" w:cstheme="majorBidi" w:eastAsiaTheme="majorEastAsia" w:hAnsiTheme="majorHAnsi"/>
      <w:b/>
      <w:bCs/>
      <w:color w:themeColor="accent1" w:val="4F81BD"/>
      <w:sz w:val="24"/>
      <w:szCs w:val="24"/>
      <w:rtl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  <w:bidi/>
      <w:jc w:val="right"/>
    </w:pPr>
    <w:rPr>
      <w:rFonts w:asciiTheme="majorHAnsi" w:cs="David" w:cstheme="majorBidi" w:eastAsiaTheme="majorEastAsia" w:hAnsiTheme="majorHAnsi"/>
      <w:i/>
      <w:bCs/>
      <w:color w:themeColor="accent1" w:val="4F81BD"/>
      <w:sz w:val="24"/>
      <w:szCs w:val="24"/>
      <w:rtl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  <w:bidi/>
      <w:jc w:val="right"/>
    </w:pPr>
    <w:rPr>
      <w:rFonts w:asciiTheme="majorHAnsi" w:cs="David" w:cstheme="majorBidi" w:eastAsiaTheme="majorEastAsia" w:hAnsiTheme="majorHAnsi"/>
      <w:iCs/>
      <w:color w:themeColor="accent1" w:val="4F81BD"/>
      <w:sz w:val="24"/>
      <w:szCs w:val="24"/>
      <w:rtl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  <w:bidi/>
      <w:jc w:val="right"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  <w:bidi/>
      <w:jc w:val="right"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  <w:bidi/>
      <w:jc w:val="right"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  <w:bidi/>
      <w:jc w:val="right"/>
    </w:pPr>
    <w:rPr>
      <w:rFonts w:asciiTheme="majorHAnsi" w:cs="David" w:cstheme="majorBidi" w:eastAsiaTheme="majorEastAsia" w:hAnsiTheme="majorHAnsi"/>
      <w:color w:themeColor="accent1" w:val="4F81BD"/>
      <w:sz w:val="24"/>
      <w:szCs w:val="24"/>
      <w:rtl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bidi/>
      <w:jc w:val="right"/>
    </w:pPr>
    <w:rPr>
      <w:rtl/>
      <w:rFonts w:cs="David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bidi/>
      <w:jc w:val="right"/>
    </w:pPr>
    <w:rPr>
      <w:rtl/>
      <w:rFonts w:cs="David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  <w:bidi/>
      <w:jc w:val="right"/>
    </w:pPr>
    <w:rPr>
      <w:b/>
      <w:rtl/>
      <w:rFonts w:cs="David"/>
    </w:rPr>
  </w:style>
  <w:style w:customStyle="1" w:styleId="Definition" w:type="paragraph">
    <w:name w:val="Definition"/>
    <w:basedOn w:val="Normal"/>
    <w:pPr>
      <w:bidi/>
      <w:jc w:val="right"/>
    </w:pPr>
    <w:rPr>
      <w:rtl/>
      <w:rFonts w:cs="David"/>
    </w:rPr>
  </w:style>
  <w:style w:styleId="Caption" w:type="paragraph">
    <w:name w:val="Caption"/>
    <w:basedOn w:val="Normal"/>
    <w:link w:val="BodyTextChar"/>
    <w:pPr>
      <w:spacing w:after="120" w:before="0"/>
      <w:bidi/>
      <w:jc w:val="right"/>
    </w:pPr>
    <w:rPr>
      <w:i/>
      <w:rtl/>
      <w:rFonts w:cs="David"/>
    </w:rPr>
  </w:style>
  <w:style w:customStyle="1" w:styleId="TableCaption" w:type="paragraph">
    <w:name w:val="Table Caption"/>
    <w:basedOn w:val="Caption"/>
    <w:pPr>
      <w:keepNext/>
      <w:bidi/>
      <w:jc w:val="right"/>
    </w:pPr>
    <w:rPr>
      <w:rtl/>
      <w:rFonts w:cs="David"/>
    </w:rPr>
  </w:style>
  <w:style w:customStyle="1" w:styleId="ImageCaption" w:type="paragraph">
    <w:name w:val="Image Caption"/>
    <w:basedOn w:val="Caption"/>
    <w:pPr>
      <w:bidi/>
      <w:jc w:val="right"/>
    </w:pPr>
    <w:rPr>
      <w:rtl/>
      <w:rFonts w:cs="David"/>
    </w:rPr>
  </w:style>
  <w:style w:customStyle="1" w:styleId="Figure" w:type="paragraph">
    <w:name w:val="Figure"/>
    <w:basedOn w:val="Normal"/>
    <w:pPr>
      <w:bidi/>
      <w:jc w:val="right"/>
    </w:pPr>
    <w:rPr>
      <w:rtl/>
      <w:rFonts w:cs="David"/>
    </w:rPr>
  </w:style>
  <w:style w:customStyle="1" w:styleId="CaptionedFigure" w:type="paragraph">
    <w:name w:val="Captioned Figure"/>
    <w:basedOn w:val="Figure"/>
    <w:pPr>
      <w:keepNext/>
      <w:bidi/>
      <w:jc w:val="right"/>
    </w:pPr>
    <w:rPr>
      <w:rtl/>
      <w:rFonts w:cs="Davi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bidi/>
      <w:jc w:val="right"/>
    </w:pPr>
    <w:rPr>
      <w:rFonts w:asciiTheme="majorHAnsi" w:cs="David" w:cstheme="majorBidi" w:eastAsiaTheme="majorEastAsia" w:hAnsiTheme="majorHAnsi"/>
      <w:b w:val="0"/>
      <w:bCs w:val="0"/>
      <w:color w:themeColor="accent1" w:themeShade="BF" w:val="365F91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2026-05-28T14:17:05Z</dcterms:created>
  <dcterms:modified xsi:type="dcterms:W3CDTF">2026-05-28T14:17:05Z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