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rPr>
          <w:trHeight w:val="283"/>
        </w:trPr>
        <w:tc>
          <w:tcPr>
            <w:tcW w:type="dxa" w:w="9072"/>
            <w:shd w:val="clear" w:color="auto" w:fill="142345"/>
          </w:tcPr>
          <w:p>
            <w:r/>
          </w:p>
        </w:tc>
      </w:tr>
    </w:tbl>
    <w:p/>
    <w:p>
      <w:pPr>
        <w:jc w:val="left"/>
      </w:pPr>
      <w:r>
        <w:rPr>
          <w:rFonts w:ascii="Calibri" w:hAnsi="Calibri"/>
          <w:b/>
          <w:i w:val="0"/>
          <w:color w:val="142345"/>
          <w:sz w:val="52"/>
        </w:rPr>
        <w:t>CAREER DEVELOPMENT PLAN</w:t>
      </w:r>
    </w:p>
    <w:p>
      <w:pPr>
        <w:jc w:val="left"/>
      </w:pPr>
      <w:r>
        <w:rPr>
          <w:rFonts w:ascii="Calibri" w:hAnsi="Calibri"/>
          <w:b w:val="0"/>
          <w:i w:val="0"/>
          <w:color w:val="1A7A8A"/>
          <w:sz w:val="30"/>
        </w:rPr>
        <w:t>SQL DBA Lead → Senior Data Governance Leader</w:t>
      </w:r>
    </w:p>
    <w:p/>
    <w:p>
      <w:r>
        <w:rPr>
          <w:rFonts w:ascii="Calibri" w:hAnsi="Calibri"/>
          <w:b/>
          <w:i w:val="0"/>
          <w:color w:val="4A5A6A"/>
          <w:sz w:val="26"/>
        </w:rPr>
        <w:t>Yemi Kembi</w:t>
      </w:r>
    </w:p>
    <w:p>
      <w:r>
        <w:rPr>
          <w:rFonts w:ascii="Calibri" w:hAnsi="Calibri"/>
          <w:b w:val="0"/>
          <w:i/>
          <w:color w:val="4A5A6A"/>
          <w:sz w:val="22"/>
        </w:rPr>
        <w:t>Q1 2026 — Q4 2027  |  24-Month Growth Roadmap</w:t>
      </w:r>
    </w:p>
    <w:p/>
    <w:p/>
    <w:tbl>
      <w:tblPr>
        <w:tblW w:type="auto" w:w="0"/>
        <w:tblLook w:firstColumn="1" w:firstRow="1" w:lastColumn="0" w:lastRow="0" w:noHBand="0" w:noVBand="1" w:val="04A0"/>
      </w:tblPr>
      <w:tblGrid>
        <w:gridCol w:w="9072"/>
      </w:tblGrid>
      <w:tr>
        <w:tc>
          <w:tcPr>
            <w:tcW w:type="dxa" w:w="9072"/>
            <w:shd w:val="clear" w:color="auto" w:fill="EBF5F8"/>
            <w:tcBorders>
              <w:top w:val="single" w:sz="8" w:space="0" w:color="1A7A8A"/>
              <w:left w:val="single" w:sz="8" w:space="0" w:color="1A7A8A"/>
              <w:bottom w:val="single" w:sz="8" w:space="0" w:color="1A7A8A"/>
              <w:right w:val="single" w:sz="8" w:space="0" w:color="1A7A8A"/>
            </w:tcBorders>
          </w:tcPr>
          <w:p>
            <w:r/>
          </w:p>
          <w:p>
            <w:r>
              <w:rPr>
                <w:rFonts w:ascii="Calibri" w:hAnsi="Calibri"/>
                <w:b/>
                <w:i w:val="0"/>
                <w:color w:val="142345"/>
                <w:sz w:val="22"/>
              </w:rPr>
              <w:t xml:space="preserve">Current positioning: </w:t>
            </w:r>
            <w:r>
              <w:rPr>
                <w:rFonts w:ascii="Calibri" w:hAnsi="Calibri"/>
                <w:b w:val="0"/>
                <w:i w:val="0"/>
                <w:color w:val="4A5A6A"/>
                <w:sz w:val="22"/>
              </w:rPr>
              <w:t>Operating at Data Platform Architect level with strong DBA foundation. Pattern: Centralization → Visibility → Control → Governance. Principle: Measure first → Automate → Govern.</w:t>
            </w:r>
          </w:p>
        </w:tc>
      </w:tr>
    </w:tbl>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142345"/>
            <w:tcBorders>
              <w:top w:val="single" w:sz="4" w:space="0" w:color="1A7A8A"/>
              <w:left w:val="single" w:sz="4" w:space="0" w:color="1A7A8A"/>
              <w:bottom w:val="single" w:sz="4" w:space="0" w:color="1A7A8A"/>
              <w:right w:val="single" w:sz="4" w:space="0" w:color="1A7A8A"/>
            </w:tcBorders>
          </w:tcPr>
          <w:p>
            <w:pPr>
              <w:jc w:val="center"/>
            </w:pPr>
            <w:r>
              <w:rPr>
                <w:rFonts w:ascii="Calibri" w:hAnsi="Calibri"/>
                <w:b/>
                <w:i w:val="0"/>
                <w:color w:val="FFFFFF"/>
                <w:sz w:val="36"/>
              </w:rPr>
              <w:t>35</w:t>
              <w:br/>
            </w:r>
            <w:r>
              <w:rPr>
                <w:rFonts w:ascii="Calibri" w:hAnsi="Calibri"/>
                <w:b w:val="0"/>
                <w:i w:val="0"/>
                <w:color w:val="A0C4D4"/>
                <w:sz w:val="18"/>
              </w:rPr>
              <w:t>SQL Server Instances</w:t>
            </w:r>
          </w:p>
        </w:tc>
        <w:tc>
          <w:tcPr>
            <w:tcW w:type="dxa" w:w="2268"/>
            <w:shd w:val="clear" w:color="auto" w:fill="142345"/>
            <w:tcBorders>
              <w:top w:val="single" w:sz="4" w:space="0" w:color="1A7A8A"/>
              <w:left w:val="single" w:sz="4" w:space="0" w:color="1A7A8A"/>
              <w:bottom w:val="single" w:sz="4" w:space="0" w:color="1A7A8A"/>
              <w:right w:val="single" w:sz="4" w:space="0" w:color="1A7A8A"/>
            </w:tcBorders>
          </w:tcPr>
          <w:p>
            <w:pPr>
              <w:jc w:val="center"/>
            </w:pPr>
            <w:r>
              <w:rPr>
                <w:rFonts w:ascii="Calibri" w:hAnsi="Calibri"/>
                <w:b/>
                <w:i w:val="0"/>
                <w:color w:val="FFFFFF"/>
                <w:sz w:val="36"/>
              </w:rPr>
              <w:t>352</w:t>
              <w:br/>
            </w:r>
            <w:r>
              <w:rPr>
                <w:rFonts w:ascii="Calibri" w:hAnsi="Calibri"/>
                <w:b w:val="0"/>
                <w:i w:val="0"/>
                <w:color w:val="A0C4D4"/>
                <w:sz w:val="18"/>
              </w:rPr>
              <w:t>Databases Managed</w:t>
            </w:r>
          </w:p>
        </w:tc>
        <w:tc>
          <w:tcPr>
            <w:tcW w:type="dxa" w:w="2268"/>
            <w:shd w:val="clear" w:color="auto" w:fill="142345"/>
            <w:tcBorders>
              <w:top w:val="single" w:sz="4" w:space="0" w:color="1A7A8A"/>
              <w:left w:val="single" w:sz="4" w:space="0" w:color="1A7A8A"/>
              <w:bottom w:val="single" w:sz="4" w:space="0" w:color="1A7A8A"/>
              <w:right w:val="single" w:sz="4" w:space="0" w:color="1A7A8A"/>
            </w:tcBorders>
          </w:tcPr>
          <w:p>
            <w:pPr>
              <w:jc w:val="center"/>
            </w:pPr>
            <w:r>
              <w:rPr>
                <w:rFonts w:ascii="Calibri" w:hAnsi="Calibri"/>
                <w:b/>
                <w:i w:val="0"/>
                <w:color w:val="FFFFFF"/>
                <w:sz w:val="36"/>
              </w:rPr>
              <w:t>38.4 TB</w:t>
              <w:br/>
            </w:r>
            <w:r>
              <w:rPr>
                <w:rFonts w:ascii="Calibri" w:hAnsi="Calibri"/>
                <w:b w:val="0"/>
                <w:i w:val="0"/>
                <w:color w:val="A0C4D4"/>
                <w:sz w:val="18"/>
              </w:rPr>
              <w:t>Data Under Stewardship</w:t>
            </w:r>
          </w:p>
        </w:tc>
        <w:tc>
          <w:tcPr>
            <w:tcW w:type="dxa" w:w="2268"/>
            <w:shd w:val="clear" w:color="auto" w:fill="142345"/>
            <w:tcBorders>
              <w:top w:val="single" w:sz="4" w:space="0" w:color="1A7A8A"/>
              <w:left w:val="single" w:sz="4" w:space="0" w:color="1A7A8A"/>
              <w:bottom w:val="single" w:sz="4" w:space="0" w:color="1A7A8A"/>
              <w:right w:val="single" w:sz="4" w:space="0" w:color="1A7A8A"/>
            </w:tcBorders>
          </w:tcPr>
          <w:p>
            <w:pPr>
              <w:jc w:val="center"/>
            </w:pPr>
            <w:r>
              <w:rPr>
                <w:rFonts w:ascii="Calibri" w:hAnsi="Calibri"/>
                <w:b/>
                <w:i w:val="0"/>
                <w:color w:val="FFFFFF"/>
                <w:sz w:val="36"/>
              </w:rPr>
              <w:t>8</w:t>
              <w:br/>
            </w:r>
            <w:r>
              <w:rPr>
                <w:rFonts w:ascii="Calibri" w:hAnsi="Calibri"/>
                <w:b w:val="0"/>
                <w:i w:val="0"/>
                <w:color w:val="A0C4D4"/>
                <w:sz w:val="18"/>
              </w:rPr>
              <w:t>Active Governance Projects</w:t>
            </w:r>
          </w:p>
        </w:tc>
      </w:tr>
    </w:tbl>
    <w:p/>
    <w:p>
      <w:pPr>
        <w:spacing w:before="40" w:after="160"/>
        <w:pBdr>
          <w:bottom w:val="single" w:sz="6" w:space="1" w:color="1A7A8A"/>
        </w:pBdr>
      </w:pPr>
    </w:p>
    <w:p>
      <w:r>
        <w:rPr>
          <w:rFonts w:ascii="Calibri" w:hAnsi="Calibri"/>
          <w:b w:val="0"/>
          <w:i/>
          <w:color w:val="4A5A6A"/>
          <w:sz w:val="18"/>
        </w:rPr>
        <w:t>Prepared by Helm  |  March 2026</w:t>
      </w:r>
    </w:p>
    <w:p>
      <w:r>
        <w:br w:type="page"/>
      </w:r>
    </w:p>
    <w:p>
      <w:pPr>
        <w:spacing w:before="240" w:after="120"/>
      </w:pPr>
      <w:r>
        <w:rPr>
          <w:rFonts w:ascii="Calibri" w:hAnsi="Calibri"/>
          <w:b/>
          <w:i w:val="0"/>
          <w:color w:val="142345"/>
          <w:sz w:val="36"/>
        </w:rPr>
        <w:t>01  |  Executive Positioning</w:t>
      </w:r>
    </w:p>
    <w:p>
      <w:pPr>
        <w:spacing w:before="40" w:after="160"/>
        <w:pBdr>
          <w:bottom w:val="single" w:sz="6" w:space="1" w:color="1A7A8A"/>
        </w:pBdr>
      </w:pPr>
    </w:p>
    <w:p>
      <w:pPr>
        <w:spacing w:after="120"/>
      </w:pPr>
      <w:r>
        <w:rPr>
          <w:rFonts w:ascii="Calibri" w:hAnsi="Calibri"/>
          <w:b w:val="0"/>
          <w:i w:val="0"/>
          <w:color w:val="4A5A6A"/>
          <w:sz w:val="22"/>
        </w:rPr>
        <w:t>Yemi Kembi is currently a SQL DBA Lead overseeing 35 SQL Server instances, 352 databases, and 38.4 TB of enterprise data. The work performed across his current project portfolio already exceeds the scope of a traditional DBA role — it spans executive reporting, governance risk quantification, platform centralisation, compliance infrastructure, and tooling evaluation. The gap is not capability. It is positioning and formal recognition.</w:t>
      </w:r>
    </w:p>
    <w:p>
      <w:pPr>
        <w:spacing w:after="120"/>
      </w:pPr>
      <w:r>
        <w:rPr>
          <w:rFonts w:ascii="Calibri" w:hAnsi="Calibri"/>
          <w:b w:val="0"/>
          <w:i w:val="0"/>
          <w:color w:val="4A5A6A"/>
          <w:sz w:val="22"/>
        </w:rPr>
        <w:t>The Atlan POC governance dashboard — built from the DBA Lead perspective and presented to the Director of Data Governance — is a pivotal career artefact. It demonstrates the ability to translate a complex technical estate (1.1M columns, 847 security principals, 3,420 potential PII columns) into a governance risk narrative for executive decision-making. That is senior governance work. The title needs to follow the work.</w:t>
      </w:r>
    </w:p>
    <w:p>
      <w:pPr>
        <w:spacing w:before="240" w:after="120"/>
      </w:pPr>
      <w:r>
        <w:rPr>
          <w:rFonts w:ascii="Calibri" w:hAnsi="Calibri"/>
          <w:b/>
          <w:i w:val="0"/>
          <w:color w:val="142345"/>
          <w:sz w:val="26"/>
        </w:rPr>
        <w:t>The Strategic Narrative</w:t>
      </w:r>
    </w:p>
    <w:p>
      <w:pPr>
        <w:spacing w:after="120"/>
      </w:pPr>
      <w:r>
        <w:rPr>
          <w:rFonts w:ascii="Calibri" w:hAnsi="Calibri"/>
          <w:b w:val="0"/>
          <w:i w:val="0"/>
          <w:color w:val="4A5A6A"/>
          <w:sz w:val="22"/>
        </w:rPr>
        <w:t>The operating pattern across all 8 active projects is consistent and deliberate:</w:t>
      </w:r>
    </w:p>
    <w:p>
      <w:pPr>
        <w:pStyle w:val="ListBullet"/>
        <w:spacing w:after="60"/>
        <w:ind w:left="576"/>
      </w:pPr>
      <w:r>
        <w:rPr>
          <w:rFonts w:ascii="Calibri" w:hAnsi="Calibri"/>
          <w:b w:val="0"/>
          <w:i w:val="0"/>
          <w:color w:val="4A5A6A"/>
          <w:sz w:val="22"/>
        </w:rPr>
        <w:t>Centralisation — consolidating visibility across a fragmented SQL Server estate</w:t>
      </w:r>
    </w:p>
    <w:p>
      <w:pPr>
        <w:pStyle w:val="ListBullet"/>
        <w:spacing w:after="60"/>
        <w:ind w:left="576"/>
      </w:pPr>
      <w:r>
        <w:rPr>
          <w:rFonts w:ascii="Calibri" w:hAnsi="Calibri"/>
          <w:b w:val="0"/>
          <w:i w:val="0"/>
          <w:color w:val="4A5A6A"/>
          <w:sz w:val="22"/>
        </w:rPr>
        <w:t>Visibility — building CIO-level and governance-level reporting on that estate</w:t>
      </w:r>
    </w:p>
    <w:p>
      <w:pPr>
        <w:pStyle w:val="ListBullet"/>
        <w:spacing w:after="60"/>
        <w:ind w:left="576"/>
      </w:pPr>
      <w:r>
        <w:rPr>
          <w:rFonts w:ascii="Calibri" w:hAnsi="Calibri"/>
          <w:b w:val="0"/>
          <w:i w:val="0"/>
          <w:color w:val="4A5A6A"/>
          <w:sz w:val="22"/>
        </w:rPr>
        <w:t>Control — enforcing standards for backup compliance, job management, access</w:t>
      </w:r>
    </w:p>
    <w:p>
      <w:pPr>
        <w:pStyle w:val="ListBullet"/>
        <w:spacing w:after="60"/>
        <w:ind w:left="576"/>
      </w:pPr>
      <w:r>
        <w:rPr>
          <w:rFonts w:ascii="Calibri" w:hAnsi="Calibri"/>
          <w:b w:val="0"/>
          <w:i w:val="0"/>
          <w:color w:val="4A5A6A"/>
          <w:sz w:val="22"/>
        </w:rPr>
        <w:t>Governance — quantifying risk, driving stewardship, enabling tooling decisions</w:t>
      </w:r>
    </w:p>
    <w:p>
      <w:pPr>
        <w:spacing w:after="200"/>
      </w:pPr>
      <w:r>
        <w:rPr>
          <w:rFonts w:ascii="Calibri" w:hAnsi="Calibri"/>
          <w:b w:val="0"/>
          <w:i w:val="0"/>
          <w:color w:val="4A5A6A"/>
          <w:sz w:val="22"/>
        </w:rPr>
        <w:t>This is not a DBA career trajectory. This is a Data Platform Governance career trajectory. The plan that follows formalises it.</w:t>
      </w:r>
    </w:p>
    <w:p>
      <w:r>
        <w:br w:type="page"/>
      </w:r>
    </w:p>
    <w:p>
      <w:pPr>
        <w:spacing w:before="240" w:after="120"/>
      </w:pPr>
      <w:r>
        <w:rPr>
          <w:rFonts w:ascii="Calibri" w:hAnsi="Calibri"/>
          <w:b/>
          <w:i w:val="0"/>
          <w:color w:val="142345"/>
          <w:sz w:val="36"/>
        </w:rPr>
        <w:t>02  |  Current Project Portfolio</w:t>
      </w:r>
    </w:p>
    <w:p>
      <w:pPr>
        <w:spacing w:before="40" w:after="160"/>
        <w:pBdr>
          <w:bottom w:val="single" w:sz="6" w:space="1" w:color="1A7A8A"/>
        </w:pBdr>
      </w:pPr>
    </w:p>
    <w:p>
      <w:pPr>
        <w:spacing w:after="120"/>
      </w:pPr>
      <w:r>
        <w:rPr>
          <w:rFonts w:ascii="Calibri" w:hAnsi="Calibri"/>
          <w:b w:val="0"/>
          <w:i w:val="0"/>
          <w:color w:val="4A5A6A"/>
          <w:sz w:val="22"/>
        </w:rPr>
        <w:t>The eight active projects below are mapped to their primary governance domain. Each project contributes direct evidence for a senior governance or data platform leadership role. These are live career artefacts, not future plans.</w:t>
      </w:r>
    </w:p>
    <w:p/>
    <w:tbl>
      <w:tblPr>
        <w:tblW w:type="auto" w:w="0"/>
        <w:tblLook w:firstColumn="1" w:firstRow="1" w:lastColumn="0" w:lastRow="0" w:noHBand="0" w:noVBand="1" w:val="04A0"/>
      </w:tblPr>
      <w:tblGrid>
        <w:gridCol w:w="9072"/>
      </w:tblGrid>
      <w:tr>
        <w:tc>
          <w:tcPr>
            <w:tcW w:type="dxa" w:w="9072"/>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24"/>
              </w:rPr>
              <w:t xml:space="preserve">1.  </w:t>
            </w:r>
            <w:r>
              <w:rPr>
                <w:rFonts w:ascii="Calibri" w:hAnsi="Calibri"/>
                <w:b/>
                <w:i w:val="0"/>
                <w:color w:val="142345"/>
                <w:sz w:val="24"/>
              </w:rPr>
              <w:t>CIO-Level SQL Reporting Initiative</w:t>
            </w:r>
          </w:p>
          <w:p>
            <w:r>
              <w:rPr>
                <w:rFonts w:ascii="Calibri" w:hAnsi="Calibri"/>
                <w:b/>
                <w:i w:val="0"/>
                <w:color w:val="D48F1A"/>
                <w:sz w:val="20"/>
              </w:rPr>
              <w:t xml:space="preserve">Domain: </w:t>
            </w:r>
            <w:r>
              <w:rPr>
                <w:rFonts w:ascii="Calibri" w:hAnsi="Calibri"/>
                <w:b w:val="0"/>
                <w:i w:val="0"/>
                <w:color w:val="4A5A6A"/>
                <w:sz w:val="20"/>
              </w:rPr>
              <w:t>Visibility / Executive Reporting</w:t>
            </w:r>
          </w:p>
          <w:p>
            <w:r>
              <w:rPr>
                <w:rFonts w:ascii="Calibri" w:hAnsi="Calibri"/>
                <w:b w:val="0"/>
                <w:i w:val="0"/>
                <w:color w:val="4A5A6A"/>
                <w:sz w:val="20"/>
              </w:rPr>
              <w:t>Translating DBA technical metrics into executive decision-making dashboards. Backup compliance, security posture, HA/DR readiness. Directly demonstrates the ability to communicate data risk at board level.</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24"/>
              </w:rPr>
              <w:t xml:space="preserve">2.  </w:t>
            </w:r>
            <w:r>
              <w:rPr>
                <w:rFonts w:ascii="Calibri" w:hAnsi="Calibri"/>
                <w:b/>
                <w:i w:val="0"/>
                <w:color w:val="142345"/>
                <w:sz w:val="24"/>
              </w:rPr>
              <w:t>Data Governance v1 (DG_v1)</w:t>
            </w:r>
          </w:p>
          <w:p>
            <w:r>
              <w:rPr>
                <w:rFonts w:ascii="Calibri" w:hAnsi="Calibri"/>
                <w:b/>
                <w:i w:val="0"/>
                <w:color w:val="D48F1A"/>
                <w:sz w:val="20"/>
              </w:rPr>
              <w:t xml:space="preserve">Domain: </w:t>
            </w:r>
            <w:r>
              <w:rPr>
                <w:rFonts w:ascii="Calibri" w:hAnsi="Calibri"/>
                <w:b w:val="0"/>
                <w:i w:val="0"/>
                <w:color w:val="4A5A6A"/>
                <w:sz w:val="20"/>
              </w:rPr>
              <w:t>Governance Foundation</w:t>
            </w:r>
          </w:p>
          <w:p>
            <w:r>
              <w:rPr>
                <w:rFonts w:ascii="Calibri" w:hAnsi="Calibri"/>
                <w:b w:val="0"/>
                <w:i w:val="0"/>
                <w:color w:val="4A5A6A"/>
                <w:sz w:val="20"/>
              </w:rPr>
              <w:t>SQL-layer governance dashboard covering security, compliance, and audit readiness. Governance Readiness Score: 18/100 — quantified risk narrative presented to Director of Data Governance. Primary vehicle for the governance leadership transition.</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24"/>
              </w:rPr>
              <w:t xml:space="preserve">3.  </w:t>
            </w:r>
            <w:r>
              <w:rPr>
                <w:rFonts w:ascii="Calibri" w:hAnsi="Calibri"/>
                <w:b/>
                <w:i w:val="0"/>
                <w:color w:val="142345"/>
                <w:sz w:val="24"/>
              </w:rPr>
              <w:t>Backup Strategy + Air-Gap Architecture</w:t>
            </w:r>
          </w:p>
          <w:p>
            <w:r>
              <w:rPr>
                <w:rFonts w:ascii="Calibri" w:hAnsi="Calibri"/>
                <w:b/>
                <w:i w:val="0"/>
                <w:color w:val="D48F1A"/>
                <w:sz w:val="20"/>
              </w:rPr>
              <w:t xml:space="preserve">Domain: </w:t>
            </w:r>
            <w:r>
              <w:rPr>
                <w:rFonts w:ascii="Calibri" w:hAnsi="Calibri"/>
                <w:b w:val="0"/>
                <w:i w:val="0"/>
                <w:color w:val="4A5A6A"/>
                <w:sz w:val="20"/>
              </w:rPr>
              <w:t>Compliance / Risk Management</w:t>
            </w:r>
          </w:p>
          <w:p>
            <w:r>
              <w:rPr>
                <w:rFonts w:ascii="Calibri" w:hAnsi="Calibri"/>
                <w:b w:val="0"/>
                <w:i w:val="0"/>
                <w:color w:val="4A5A6A"/>
                <w:sz w:val="20"/>
              </w:rPr>
              <w:t>Enterprise recoverability design using Ola Hallengren framework, encrypted full backups, striping, centralised UNC storage, and AWS S3 air-gap integration. Demonstrates compliance-grade infrastructure thinking.</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24"/>
              </w:rPr>
              <w:t xml:space="preserve">4.  </w:t>
            </w:r>
            <w:r>
              <w:rPr>
                <w:rFonts w:ascii="Calibri" w:hAnsi="Calibri"/>
                <w:b/>
                <w:i w:val="0"/>
                <w:color w:val="142345"/>
                <w:sz w:val="24"/>
              </w:rPr>
              <w:t>SQL Agent Jobs Centralisation</w:t>
            </w:r>
          </w:p>
          <w:p>
            <w:r>
              <w:rPr>
                <w:rFonts w:ascii="Calibri" w:hAnsi="Calibri"/>
                <w:b/>
                <w:i w:val="0"/>
                <w:color w:val="D48F1A"/>
                <w:sz w:val="20"/>
              </w:rPr>
              <w:t xml:space="preserve">Domain: </w:t>
            </w:r>
            <w:r>
              <w:rPr>
                <w:rFonts w:ascii="Calibri" w:hAnsi="Calibri"/>
                <w:b w:val="0"/>
                <w:i w:val="0"/>
                <w:color w:val="4A5A6A"/>
                <w:sz w:val="20"/>
              </w:rPr>
              <w:t>Operational Governance / Auditability</w:t>
            </w:r>
          </w:p>
          <w:p>
            <w:r>
              <w:rPr>
                <w:rFonts w:ascii="Calibri" w:hAnsi="Calibri"/>
                <w:b w:val="0"/>
                <w:i w:val="0"/>
                <w:color w:val="4A5A6A"/>
                <w:sz w:val="20"/>
              </w:rPr>
              <w:t>Reducing job sprawl across the estate by consolidating to a dedicated instance. Improved auditing and ownership boundaries — governance at the operational layer.</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24"/>
              </w:rPr>
              <w:t xml:space="preserve">5.  </w:t>
            </w:r>
            <w:r>
              <w:rPr>
                <w:rFonts w:ascii="Calibri" w:hAnsi="Calibri"/>
                <w:b/>
                <w:i w:val="0"/>
                <w:color w:val="142345"/>
                <w:sz w:val="24"/>
              </w:rPr>
              <w:t>QA Refresh / Restore Pipeline</w:t>
            </w:r>
          </w:p>
          <w:p>
            <w:r>
              <w:rPr>
                <w:rFonts w:ascii="Calibri" w:hAnsi="Calibri"/>
                <w:b/>
                <w:i w:val="0"/>
                <w:color w:val="D48F1A"/>
                <w:sz w:val="20"/>
              </w:rPr>
              <w:t xml:space="preserve">Domain: </w:t>
            </w:r>
            <w:r>
              <w:rPr>
                <w:rFonts w:ascii="Calibri" w:hAnsi="Calibri"/>
                <w:b w:val="0"/>
                <w:i w:val="0"/>
                <w:color w:val="4A5A6A"/>
                <w:sz w:val="20"/>
              </w:rPr>
              <w:t>Data Lifecycle / Access Control</w:t>
            </w:r>
          </w:p>
          <w:p>
            <w:r>
              <w:rPr>
                <w:rFonts w:ascii="Calibri" w:hAnsi="Calibri"/>
                <w:b w:val="0"/>
                <w:i w:val="0"/>
                <w:color w:val="4A5A6A"/>
                <w:sz w:val="20"/>
              </w:rPr>
              <w:t>Standardised QA refresh workflow using copy-only backups with controlled restore logic. Intentional friction maintained at control points — principle-led design.</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24"/>
              </w:rPr>
              <w:t xml:space="preserve">6.  </w:t>
            </w:r>
            <w:r>
              <w:rPr>
                <w:rFonts w:ascii="Calibri" w:hAnsi="Calibri"/>
                <w:b/>
                <w:i w:val="0"/>
                <w:color w:val="142345"/>
                <w:sz w:val="24"/>
              </w:rPr>
              <w:t>Central Admin Database Platform</w:t>
            </w:r>
          </w:p>
          <w:p>
            <w:r>
              <w:rPr>
                <w:rFonts w:ascii="Calibri" w:hAnsi="Calibri"/>
                <w:b/>
                <w:i w:val="0"/>
                <w:color w:val="D48F1A"/>
                <w:sz w:val="20"/>
              </w:rPr>
              <w:t xml:space="preserve">Domain: </w:t>
            </w:r>
            <w:r>
              <w:rPr>
                <w:rFonts w:ascii="Calibri" w:hAnsi="Calibri"/>
                <w:b w:val="0"/>
                <w:i w:val="0"/>
                <w:color w:val="4A5A6A"/>
                <w:sz w:val="20"/>
              </w:rPr>
              <w:t>Metadata / Data Catalogue Foundation</w:t>
            </w:r>
          </w:p>
          <w:p>
            <w:r>
              <w:rPr>
                <w:rFonts w:ascii="Calibri" w:hAnsi="Calibri"/>
                <w:b w:val="0"/>
                <w:i w:val="0"/>
                <w:color w:val="4A5A6A"/>
                <w:sz w:val="20"/>
              </w:rPr>
              <w:t>Centralised metadata repository covering server inventory, DB inventory, AG tracking, backup tracking, and cross-instance CMS queries. This is the foundation layer that makes estate-wide governance possible.</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24"/>
              </w:rPr>
              <w:t xml:space="preserve">7.  </w:t>
            </w:r>
            <w:r>
              <w:rPr>
                <w:rFonts w:ascii="Calibri" w:hAnsi="Calibri"/>
                <w:b/>
                <w:i w:val="0"/>
                <w:color w:val="142345"/>
                <w:sz w:val="24"/>
              </w:rPr>
              <w:t>Missed Backup Reporting System</w:t>
            </w:r>
          </w:p>
          <w:p>
            <w:r>
              <w:rPr>
                <w:rFonts w:ascii="Calibri" w:hAnsi="Calibri"/>
                <w:b/>
                <w:i w:val="0"/>
                <w:color w:val="D48F1A"/>
                <w:sz w:val="20"/>
              </w:rPr>
              <w:t xml:space="preserve">Domain: </w:t>
            </w:r>
            <w:r>
              <w:rPr>
                <w:rFonts w:ascii="Calibri" w:hAnsi="Calibri"/>
                <w:b w:val="0"/>
                <w:i w:val="0"/>
                <w:color w:val="4A5A6A"/>
                <w:sz w:val="20"/>
              </w:rPr>
              <w:t>Governance Enforcement / Compliance Monitoring</w:t>
            </w:r>
          </w:p>
          <w:p>
            <w:r>
              <w:rPr>
                <w:rFonts w:ascii="Calibri" w:hAnsi="Calibri"/>
                <w:b w:val="0"/>
                <w:i w:val="0"/>
                <w:color w:val="4A5A6A"/>
                <w:sz w:val="20"/>
              </w:rPr>
              <w:t>Linked-server queries aggregating backup compliance data across all instances into a central report. Acts as an operational governance enforcement mechanism — gap detection at scale.</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24"/>
              </w:rPr>
              <w:t xml:space="preserve">8.  </w:t>
            </w:r>
            <w:r>
              <w:rPr>
                <w:rFonts w:ascii="Calibri" w:hAnsi="Calibri"/>
                <w:b/>
                <w:i w:val="0"/>
                <w:color w:val="142345"/>
                <w:sz w:val="24"/>
              </w:rPr>
              <w:t>Datadog Monitoring Strategy</w:t>
            </w:r>
          </w:p>
          <w:p>
            <w:r>
              <w:rPr>
                <w:rFonts w:ascii="Calibri" w:hAnsi="Calibri"/>
                <w:b/>
                <w:i w:val="0"/>
                <w:color w:val="D48F1A"/>
                <w:sz w:val="20"/>
              </w:rPr>
              <w:t xml:space="preserve">Domain: </w:t>
            </w:r>
            <w:r>
              <w:rPr>
                <w:rFonts w:ascii="Calibri" w:hAnsi="Calibri"/>
                <w:b w:val="0"/>
                <w:i w:val="0"/>
                <w:color w:val="4A5A6A"/>
                <w:sz w:val="20"/>
              </w:rPr>
              <w:t>Observability / Compliance Posture</w:t>
            </w:r>
          </w:p>
          <w:p>
            <w:r>
              <w:rPr>
                <w:rFonts w:ascii="Calibri" w:hAnsi="Calibri"/>
                <w:b w:val="0"/>
                <w:i w:val="0"/>
                <w:color w:val="4A5A6A"/>
                <w:sz w:val="20"/>
              </w:rPr>
              <w:t>Aligning platform monitoring to business impact: patch tracking, alert auditing, SQL metric visibility. Bridges technical operations with risk and compliance reporting.</w:t>
            </w:r>
          </w:p>
        </w:tc>
      </w:tr>
    </w:tbl>
    <w:p/>
    <w:p>
      <w:r>
        <w:br w:type="page"/>
      </w:r>
    </w:p>
    <w:p>
      <w:pPr>
        <w:spacing w:before="240" w:after="120"/>
      </w:pPr>
      <w:r>
        <w:rPr>
          <w:rFonts w:ascii="Calibri" w:hAnsi="Calibri"/>
          <w:b/>
          <w:i w:val="0"/>
          <w:color w:val="142345"/>
          <w:sz w:val="36"/>
        </w:rPr>
        <w:t>03  |  Career Path</w:t>
      </w:r>
    </w:p>
    <w:p>
      <w:pPr>
        <w:spacing w:before="40" w:after="160"/>
        <w:pBdr>
          <w:bottom w:val="single" w:sz="6" w:space="1" w:color="1A7A8A"/>
        </w:pBdr>
      </w:pPr>
    </w:p>
    <w:p>
      <w:pPr>
        <w:spacing w:after="120"/>
      </w:pPr>
      <w:r>
        <w:rPr>
          <w:rFonts w:ascii="Calibri" w:hAnsi="Calibri"/>
          <w:b w:val="0"/>
          <w:i w:val="0"/>
          <w:color w:val="4A5A6A"/>
          <w:sz w:val="22"/>
        </w:rPr>
        <w:t>The path from SQL DBA Lead to a senior Data Governance leadership role has four stages. The transition between stages 1 and 2 is already underway — the Atlan POC and DG_v1 project place Yemi squarely in stage 2 territory.</w:t>
      </w:r>
    </w:p>
    <w:p/>
    <w:tbl>
      <w:tblPr>
        <w:tblW w:type="auto" w:w="0"/>
        <w:jc w:val="left"/>
        <w:tblLook w:firstColumn="1" w:firstRow="1" w:lastColumn="0" w:lastRow="0" w:noHBand="0" w:noVBand="1" w:val="04A0"/>
      </w:tblPr>
      <w:tblGrid>
        <w:gridCol w:w="4536"/>
        <w:gridCol w:w="4536"/>
      </w:tblGrid>
      <w:tr>
        <w:tc>
          <w:tcPr>
            <w:tcW w:type="dxa" w:w="1728"/>
            <w:shd w:val="clear" w:color="auto" w:fill="142345"/>
          </w:tcPr>
          <w:p>
            <w:pPr>
              <w:jc w:val="center"/>
            </w:pPr>
            <w:r>
              <w:rPr>
                <w:rFonts w:ascii="Calibri" w:hAnsi="Calibri"/>
                <w:b/>
                <w:i w:val="0"/>
                <w:color w:val="FFFFFF"/>
                <w:sz w:val="18"/>
              </w:rPr>
              <w:t>NOW</w:t>
            </w:r>
          </w:p>
        </w:tc>
        <w:tc>
          <w:tcPr>
            <w:tcW w:type="dxa" w:w="4536"/>
            <w:shd w:val="clear" w:color="auto" w:fill="F9FAFB"/>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24"/>
              </w:rPr>
              <w:t>SQL DBA Lead</w:t>
            </w:r>
          </w:p>
          <w:p>
            <w:r>
              <w:rPr>
                <w:rFonts w:ascii="Calibri" w:hAnsi="Calibri"/>
                <w:b w:val="0"/>
                <w:i w:val="0"/>
                <w:color w:val="4A5A6A"/>
                <w:sz w:val="20"/>
              </w:rPr>
              <w:t xml:space="preserve">  ·  Deep SQL Server expertise (35 instances, 38TB)</w:t>
            </w:r>
          </w:p>
          <w:p>
            <w:r>
              <w:rPr>
                <w:rFonts w:ascii="Calibri" w:hAnsi="Calibri"/>
                <w:b w:val="0"/>
                <w:i w:val="0"/>
                <w:color w:val="4A5A6A"/>
                <w:sz w:val="20"/>
              </w:rPr>
              <w:t xml:space="preserve">  ·  Platform centralisation and operational governance</w:t>
            </w:r>
          </w:p>
          <w:p>
            <w:r>
              <w:rPr>
                <w:rFonts w:ascii="Calibri" w:hAnsi="Calibri"/>
                <w:b w:val="0"/>
                <w:i w:val="0"/>
                <w:color w:val="4A5A6A"/>
                <w:sz w:val="20"/>
              </w:rPr>
              <w:t xml:space="preserve">  ·  CIO-level reporting and executive communication</w:t>
            </w:r>
          </w:p>
          <w:p>
            <w:r>
              <w:rPr>
                <w:rFonts w:ascii="Calibri" w:hAnsi="Calibri"/>
                <w:b w:val="0"/>
                <w:i w:val="0"/>
                <w:color w:val="4A5A6A"/>
                <w:sz w:val="20"/>
              </w:rPr>
              <w:t xml:space="preserve">  ·  Governance risk quantification (DG_v1, Atlan POC)</w:t>
            </w:r>
          </w:p>
        </w:tc>
      </w:tr>
    </w:tbl>
    <w:p/>
    <w:tbl>
      <w:tblPr>
        <w:tblW w:type="auto" w:w="0"/>
        <w:jc w:val="left"/>
        <w:tblLook w:firstColumn="1" w:firstRow="1" w:lastColumn="0" w:lastRow="0" w:noHBand="0" w:noVBand="1" w:val="04A0"/>
      </w:tblPr>
      <w:tblGrid>
        <w:gridCol w:w="4536"/>
        <w:gridCol w:w="4536"/>
      </w:tblGrid>
      <w:tr>
        <w:tc>
          <w:tcPr>
            <w:tcW w:type="dxa" w:w="1728"/>
            <w:shd w:val="clear" w:color="auto" w:fill="1A7A8A"/>
          </w:tcPr>
          <w:p>
            <w:pPr>
              <w:jc w:val="center"/>
            </w:pPr>
            <w:r>
              <w:rPr>
                <w:rFonts w:ascii="Calibri" w:hAnsi="Calibri"/>
                <w:b/>
                <w:i w:val="0"/>
                <w:color w:val="FFFFFF"/>
                <w:sz w:val="18"/>
              </w:rPr>
              <w:t>6–12 MO</w:t>
            </w:r>
          </w:p>
        </w:tc>
        <w:tc>
          <w:tcPr>
            <w:tcW w:type="dxa" w:w="4536"/>
            <w:shd w:val="clear" w:color="auto" w:fill="F9FAFB"/>
            <w:tcBorders>
              <w:top w:val="single" w:sz="6" w:space="0" w:color="1A7A8A"/>
              <w:left w:val="single" w:sz="6" w:space="0" w:color="1A7A8A"/>
              <w:bottom w:val="single" w:sz="6" w:space="0" w:color="1A7A8A"/>
              <w:right w:val="single" w:sz="6" w:space="0" w:color="1A7A8A"/>
            </w:tcBorders>
          </w:tcPr>
          <w:p>
            <w:r>
              <w:rPr>
                <w:rFonts w:ascii="Calibri" w:hAnsi="Calibri"/>
                <w:b/>
                <w:i w:val="0"/>
                <w:color w:val="142345"/>
                <w:sz w:val="24"/>
              </w:rPr>
              <w:t>Data Governance Lead / Senior DG Engineer</w:t>
            </w:r>
          </w:p>
          <w:p>
            <w:r>
              <w:rPr>
                <w:rFonts w:ascii="Calibri" w:hAnsi="Calibri"/>
                <w:b w:val="0"/>
                <w:i w:val="0"/>
                <w:color w:val="4A5A6A"/>
                <w:sz w:val="20"/>
              </w:rPr>
              <w:t xml:space="preserve">  ·  Own the governance programme for SQL layer</w:t>
            </w:r>
          </w:p>
          <w:p>
            <w:r>
              <w:rPr>
                <w:rFonts w:ascii="Calibri" w:hAnsi="Calibri"/>
                <w:b w:val="0"/>
                <w:i w:val="0"/>
                <w:color w:val="4A5A6A"/>
                <w:sz w:val="20"/>
              </w:rPr>
              <w:t xml:space="preserve">  ·  Formalise data stewardship across key domains</w:t>
            </w:r>
          </w:p>
          <w:p>
            <w:r>
              <w:rPr>
                <w:rFonts w:ascii="Calibri" w:hAnsi="Calibri"/>
                <w:b w:val="0"/>
                <w:i w:val="0"/>
                <w:color w:val="4A5A6A"/>
                <w:sz w:val="20"/>
              </w:rPr>
              <w:t xml:space="preserve">  ·  Drive Atlan or equivalent catalogue adoption</w:t>
            </w:r>
          </w:p>
          <w:p>
            <w:r>
              <w:rPr>
                <w:rFonts w:ascii="Calibri" w:hAnsi="Calibri"/>
                <w:b w:val="0"/>
                <w:i w:val="0"/>
                <w:color w:val="4A5A6A"/>
                <w:sz w:val="20"/>
              </w:rPr>
              <w:t xml:space="preserve">  ·  Begin CDMP Associate certification (DAMA-DMBOK)</w:t>
            </w:r>
          </w:p>
        </w:tc>
      </w:tr>
    </w:tbl>
    <w:p/>
    <w:tbl>
      <w:tblPr>
        <w:tblW w:type="auto" w:w="0"/>
        <w:jc w:val="left"/>
        <w:tblLook w:firstColumn="1" w:firstRow="1" w:lastColumn="0" w:lastRow="0" w:noHBand="0" w:noVBand="1" w:val="04A0"/>
      </w:tblPr>
      <w:tblGrid>
        <w:gridCol w:w="4536"/>
        <w:gridCol w:w="4536"/>
      </w:tblGrid>
      <w:tr>
        <w:tc>
          <w:tcPr>
            <w:tcW w:type="dxa" w:w="1728"/>
            <w:shd w:val="clear" w:color="auto" w:fill="D48F1A"/>
          </w:tcPr>
          <w:p>
            <w:pPr>
              <w:jc w:val="center"/>
            </w:pPr>
            <w:r>
              <w:rPr>
                <w:rFonts w:ascii="Calibri" w:hAnsi="Calibri"/>
                <w:b/>
                <w:i w:val="0"/>
                <w:color w:val="FFFFFF"/>
                <w:sz w:val="18"/>
              </w:rPr>
              <w:t>12–24 MO</w:t>
            </w:r>
          </w:p>
        </w:tc>
        <w:tc>
          <w:tcPr>
            <w:tcW w:type="dxa" w:w="4536"/>
            <w:shd w:val="clear" w:color="auto" w:fill="F9FAFB"/>
            <w:tcBorders>
              <w:top w:val="single" w:sz="6" w:space="0" w:color="D48F1A"/>
              <w:left w:val="single" w:sz="6" w:space="0" w:color="D48F1A"/>
              <w:bottom w:val="single" w:sz="6" w:space="0" w:color="D48F1A"/>
              <w:right w:val="single" w:sz="6" w:space="0" w:color="D48F1A"/>
            </w:tcBorders>
          </w:tcPr>
          <w:p>
            <w:r>
              <w:rPr>
                <w:rFonts w:ascii="Calibri" w:hAnsi="Calibri"/>
                <w:b/>
                <w:i w:val="0"/>
                <w:color w:val="142345"/>
                <w:sz w:val="24"/>
              </w:rPr>
              <w:t>Head of Data Governance / Principal DG Architect</w:t>
            </w:r>
          </w:p>
          <w:p>
            <w:r>
              <w:rPr>
                <w:rFonts w:ascii="Calibri" w:hAnsi="Calibri"/>
                <w:b w:val="0"/>
                <w:i w:val="0"/>
                <w:color w:val="4A5A6A"/>
                <w:sz w:val="20"/>
              </w:rPr>
              <w:t xml:space="preserve">  ·  Governance policy ownership across platforms</w:t>
            </w:r>
          </w:p>
          <w:p>
            <w:r>
              <w:rPr>
                <w:rFonts w:ascii="Calibri" w:hAnsi="Calibri"/>
                <w:b w:val="0"/>
                <w:i w:val="0"/>
                <w:color w:val="4A5A6A"/>
                <w:sz w:val="20"/>
              </w:rPr>
              <w:t xml:space="preserve">  ·  Cloud data governance fluency (Fabric, Purview, Snowflake)</w:t>
            </w:r>
          </w:p>
          <w:p>
            <w:r>
              <w:rPr>
                <w:rFonts w:ascii="Calibri" w:hAnsi="Calibri"/>
                <w:b w:val="0"/>
                <w:i w:val="0"/>
                <w:color w:val="4A5A6A"/>
                <w:sz w:val="20"/>
              </w:rPr>
              <w:t xml:space="preserve">  ·  Data stewardship network and cross-domain accountability</w:t>
            </w:r>
          </w:p>
          <w:p>
            <w:r>
              <w:rPr>
                <w:rFonts w:ascii="Calibri" w:hAnsi="Calibri"/>
                <w:b w:val="0"/>
                <w:i w:val="0"/>
                <w:color w:val="4A5A6A"/>
                <w:sz w:val="20"/>
              </w:rPr>
              <w:t xml:space="preserve">  ·  CDMP Practitioner or equivalent</w:t>
            </w:r>
          </w:p>
        </w:tc>
      </w:tr>
    </w:tbl>
    <w:p/>
    <w:tbl>
      <w:tblPr>
        <w:tblW w:type="auto" w:w="0"/>
        <w:jc w:val="left"/>
        <w:tblLook w:firstColumn="1" w:firstRow="1" w:lastColumn="0" w:lastRow="0" w:noHBand="0" w:noVBand="1" w:val="04A0"/>
      </w:tblPr>
      <w:tblGrid>
        <w:gridCol w:w="4536"/>
        <w:gridCol w:w="4536"/>
      </w:tblGrid>
      <w:tr>
        <w:tc>
          <w:tcPr>
            <w:tcW w:type="dxa" w:w="1728"/>
            <w:shd w:val="clear" w:color="auto" w:fill="142345"/>
          </w:tcPr>
          <w:p>
            <w:pPr>
              <w:jc w:val="center"/>
            </w:pPr>
            <w:r>
              <w:rPr>
                <w:rFonts w:ascii="Calibri" w:hAnsi="Calibri"/>
                <w:b/>
                <w:i w:val="0"/>
                <w:color w:val="A0C4D4"/>
                <w:sz w:val="18"/>
              </w:rPr>
              <w:t>24 MO+</w:t>
            </w:r>
          </w:p>
        </w:tc>
        <w:tc>
          <w:tcPr>
            <w:tcW w:type="dxa" w:w="4536"/>
            <w:shd w:val="clear" w:color="auto" w:fill="F9FAFB"/>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24"/>
              </w:rPr>
              <w:t>Director of Data Governance</w:t>
            </w:r>
          </w:p>
          <w:p>
            <w:r>
              <w:rPr>
                <w:rFonts w:ascii="Calibri" w:hAnsi="Calibri"/>
                <w:b w:val="0"/>
                <w:i w:val="0"/>
                <w:color w:val="4A5A6A"/>
                <w:sz w:val="20"/>
              </w:rPr>
              <w:t xml:space="preserve">  ·  Programme leadership — budget, team, executive reporting</w:t>
            </w:r>
          </w:p>
          <w:p>
            <w:r>
              <w:rPr>
                <w:rFonts w:ascii="Calibri" w:hAnsi="Calibri"/>
                <w:b w:val="0"/>
                <w:i w:val="0"/>
                <w:color w:val="4A5A6A"/>
                <w:sz w:val="20"/>
              </w:rPr>
              <w:t xml:space="preserve">  ·  CDO-level risk and compliance narrative</w:t>
            </w:r>
          </w:p>
          <w:p>
            <w:r>
              <w:rPr>
                <w:rFonts w:ascii="Calibri" w:hAnsi="Calibri"/>
                <w:b w:val="0"/>
                <w:i w:val="0"/>
                <w:color w:val="4A5A6A"/>
                <w:sz w:val="20"/>
              </w:rPr>
              <w:t xml:space="preserve">  ·  Board-level data governance reporting</w:t>
            </w:r>
          </w:p>
          <w:p>
            <w:r>
              <w:rPr>
                <w:rFonts w:ascii="Calibri" w:hAnsi="Calibri"/>
                <w:b w:val="0"/>
                <w:i w:val="0"/>
                <w:color w:val="4A5A6A"/>
                <w:sz w:val="20"/>
              </w:rPr>
              <w:t xml:space="preserve">  ·  Industry recognition — speaking, publishing, community</w:t>
            </w:r>
          </w:p>
        </w:tc>
      </w:tr>
    </w:tbl>
    <w:p/>
    <w:p>
      <w:r>
        <w:br w:type="page"/>
      </w:r>
    </w:p>
    <w:p>
      <w:pPr>
        <w:spacing w:before="240" w:after="120"/>
      </w:pPr>
      <w:r>
        <w:rPr>
          <w:rFonts w:ascii="Calibri" w:hAnsi="Calibri"/>
          <w:b/>
          <w:i w:val="0"/>
          <w:color w:val="142345"/>
          <w:sz w:val="36"/>
        </w:rPr>
        <w:t>04  |  Gap Analysis</w:t>
      </w:r>
    </w:p>
    <w:p>
      <w:pPr>
        <w:spacing w:before="40" w:after="160"/>
        <w:pBdr>
          <w:bottom w:val="single" w:sz="6" w:space="1" w:color="1A7A8A"/>
        </w:pBdr>
      </w:pPr>
    </w:p>
    <w:p>
      <w:pPr>
        <w:spacing w:after="120"/>
      </w:pPr>
      <w:r>
        <w:rPr>
          <w:rFonts w:ascii="Calibri" w:hAnsi="Calibri"/>
          <w:b w:val="0"/>
          <w:i w:val="0"/>
          <w:color w:val="4A5A6A"/>
          <w:sz w:val="22"/>
        </w:rPr>
        <w:t>The following matrix maps current strengths against the gaps that need closing to move into a senior Data Governance leadership role. Each gap includes a specific close strategy tied to existing projects or achievable actions.</w:t>
      </w:r>
    </w:p>
    <w:p/>
    <w:tbl>
      <w:tblPr>
        <w:tblW w:type="auto" w:w="0"/>
        <w:jc w:val="left"/>
        <w:tblLook w:firstColumn="1" w:firstRow="1" w:lastColumn="0" w:lastRow="0" w:noHBand="0" w:noVBand="1" w:val="04A0"/>
      </w:tblPr>
      <w:tblGrid>
        <w:gridCol w:w="2268"/>
        <w:gridCol w:w="2268"/>
        <w:gridCol w:w="2268"/>
        <w:gridCol w:w="2268"/>
      </w:tblGrid>
      <w:tr>
        <w:tc>
          <w:tcPr>
            <w:tcW w:type="dxa" w:w="2160"/>
            <w:shd w:val="clear" w:color="auto" w:fill="142345"/>
          </w:tcPr>
          <w:p>
            <w:r>
              <w:rPr>
                <w:rFonts w:ascii="Calibri" w:hAnsi="Calibri"/>
                <w:b/>
                <w:i w:val="0"/>
                <w:color w:val="FFFFFF"/>
                <w:sz w:val="20"/>
              </w:rPr>
              <w:t>Area</w:t>
            </w:r>
          </w:p>
        </w:tc>
        <w:tc>
          <w:tcPr>
            <w:tcW w:type="dxa" w:w="1872"/>
            <w:shd w:val="clear" w:color="auto" w:fill="142345"/>
          </w:tcPr>
          <w:p>
            <w:r>
              <w:rPr>
                <w:rFonts w:ascii="Calibri" w:hAnsi="Calibri"/>
                <w:b/>
                <w:i w:val="0"/>
                <w:color w:val="FFFFFF"/>
                <w:sz w:val="20"/>
              </w:rPr>
              <w:t>Current State</w:t>
            </w:r>
          </w:p>
        </w:tc>
        <w:tc>
          <w:tcPr>
            <w:tcW w:type="dxa" w:w="1872"/>
            <w:shd w:val="clear" w:color="auto" w:fill="142345"/>
          </w:tcPr>
          <w:p>
            <w:r>
              <w:rPr>
                <w:rFonts w:ascii="Calibri" w:hAnsi="Calibri"/>
                <w:b/>
                <w:i w:val="0"/>
                <w:color w:val="FFFFFF"/>
                <w:sz w:val="20"/>
              </w:rPr>
              <w:t>Target State</w:t>
            </w:r>
          </w:p>
        </w:tc>
        <w:tc>
          <w:tcPr>
            <w:tcW w:type="dxa" w:w="3600"/>
            <w:shd w:val="clear" w:color="auto" w:fill="142345"/>
          </w:tcPr>
          <w:p>
            <w:r>
              <w:rPr>
                <w:rFonts w:ascii="Calibri" w:hAnsi="Calibri"/>
                <w:b/>
                <w:i w:val="0"/>
                <w:color w:val="FFFFFF"/>
                <w:sz w:val="20"/>
              </w:rPr>
              <w:t>Close Strategy</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Calibri" w:hAnsi="Calibri"/>
                <w:b/>
                <w:i w:val="0"/>
                <w:color w:val="4A5A6A"/>
                <w:sz w:val="20"/>
              </w:rPr>
              <w:t>Formal Credentials</w:t>
            </w:r>
          </w:p>
        </w:tc>
        <w:tc>
          <w:tcPr>
            <w:tcW w:type="dxa" w:w="1872"/>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None (DBA certs only)</w:t>
            </w:r>
          </w:p>
        </w:tc>
        <w:tc>
          <w:tcPr>
            <w:tcW w:type="dxa" w:w="1872"/>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CDMP Associate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Register for DAMA-DMBOK study group. Take CDMP Associate exam within 6 months. Maps directly to DG_v1 work already done.</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Calibri" w:hAnsi="Calibri"/>
                <w:b/>
                <w:i w:val="0"/>
                <w:color w:val="4A5A6A"/>
                <w:sz w:val="20"/>
              </w:rPr>
              <w:t>Governance Framework</w:t>
            </w:r>
          </w:p>
        </w:tc>
        <w:tc>
          <w:tcPr>
            <w:tcW w:type="dxa" w:w="1872"/>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Practical (home-built)</w:t>
            </w:r>
          </w:p>
        </w:tc>
        <w:tc>
          <w:tcPr>
            <w:tcW w:type="dxa" w:w="1872"/>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DAMA-DMBOK fluency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Map existing DG_v1 project to DMBOK knowledge areas. Reframe project outputs using DMBOK language in documentation.</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Calibri" w:hAnsi="Calibri"/>
                <w:b/>
                <w:i w:val="0"/>
                <w:color w:val="4A5A6A"/>
                <w:sz w:val="20"/>
              </w:rPr>
              <w:t>Visibility &amp; Positioning</w:t>
            </w:r>
          </w:p>
        </w:tc>
        <w:tc>
          <w:tcPr>
            <w:tcW w:type="dxa" w:w="1872"/>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Known as DBA Lead</w:t>
            </w:r>
          </w:p>
        </w:tc>
        <w:tc>
          <w:tcPr>
            <w:tcW w:type="dxa" w:w="1872"/>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Known as Governance Lead</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Own the Atlan POC narrative end-to-end. Request a formal governance mandate or title change. Present DG_v1 findings at broader forums.</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Calibri" w:hAnsi="Calibri"/>
                <w:b/>
                <w:i w:val="0"/>
                <w:color w:val="4A5A6A"/>
                <w:sz w:val="20"/>
              </w:rPr>
              <w:t>Platform Breadth</w:t>
            </w:r>
          </w:p>
        </w:tc>
        <w:tc>
          <w:tcPr>
            <w:tcW w:type="dxa" w:w="1872"/>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SQL Server depth</w:t>
            </w:r>
          </w:p>
        </w:tc>
        <w:tc>
          <w:tcPr>
            <w:tcW w:type="dxa" w:w="1872"/>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Cloud data fluency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Add Azure Purview / Microsoft Fabric governance layer to Atlan POC. Take Microsoft DP-900 (Azure Data Fundamentals) as entry point.</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Calibri" w:hAnsi="Calibri"/>
                <w:b/>
                <w:i w:val="0"/>
                <w:color w:val="4A5A6A"/>
                <w:sz w:val="20"/>
              </w:rPr>
              <w:t>Stakeholder Leadership</w:t>
            </w:r>
          </w:p>
        </w:tc>
        <w:tc>
          <w:tcPr>
            <w:tcW w:type="dxa" w:w="1872"/>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Technical presenter</w:t>
            </w:r>
          </w:p>
        </w:tc>
        <w:tc>
          <w:tcPr>
            <w:tcW w:type="dxa" w:w="1872"/>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Programme owner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Transition from delivering dashboards to owning governance recommendations. Present risk posture, not just data, to the Director.</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Calibri" w:hAnsi="Calibri"/>
                <w:b/>
                <w:i w:val="0"/>
                <w:color w:val="4A5A6A"/>
                <w:sz w:val="20"/>
              </w:rPr>
              <w:t>Stewardship Network</w:t>
            </w:r>
          </w:p>
        </w:tc>
        <w:tc>
          <w:tcPr>
            <w:tcW w:type="dxa" w:w="1872"/>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None formal</w:t>
            </w:r>
          </w:p>
        </w:tc>
        <w:tc>
          <w:tcPr>
            <w:tcW w:type="dxa" w:w="1872"/>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Domain steward relationships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val="0"/>
                <w:i w:val="0"/>
                <w:color w:val="4A5A6A"/>
                <w:sz w:val="20"/>
              </w:rPr>
              <w:t>Identify 3–5 data owners across business domains. Propose a lightweight data stewardship model as part of DG_v1 follow-up.</w:t>
            </w:r>
          </w:p>
        </w:tc>
      </w:tr>
    </w:tbl>
    <w:p>
      <w:r>
        <w:br w:type="page"/>
      </w:r>
    </w:p>
    <w:p>
      <w:pPr>
        <w:spacing w:before="240" w:after="120"/>
      </w:pPr>
      <w:r>
        <w:rPr>
          <w:rFonts w:ascii="Calibri" w:hAnsi="Calibri"/>
          <w:b/>
          <w:i w:val="0"/>
          <w:color w:val="142345"/>
          <w:sz w:val="36"/>
        </w:rPr>
        <w:t>05  |  24-Month Action Roadmap</w:t>
      </w:r>
    </w:p>
    <w:p>
      <w:pPr>
        <w:spacing w:before="40" w:after="160"/>
        <w:pBdr>
          <w:bottom w:val="single" w:sz="6" w:space="1" w:color="1A7A8A"/>
        </w:pBdr>
      </w:pPr>
    </w:p>
    <w:p>
      <w:pPr>
        <w:spacing w:after="120"/>
      </w:pPr>
      <w:r>
        <w:rPr>
          <w:rFonts w:ascii="Calibri" w:hAnsi="Calibri"/>
          <w:b w:val="0"/>
          <w:i w:val="0"/>
          <w:color w:val="4A5A6A"/>
          <w:sz w:val="22"/>
        </w:rPr>
        <w:t>The roadmap is structured in four six-month phases. Each phase builds on the last. Existing projects are embedded as milestones — this is not additional work, it is reframing the work that is already happening.</w:t>
      </w:r>
    </w:p>
    <w:p/>
    <w:tbl>
      <w:tblPr>
        <w:tblW w:type="auto" w:w="0"/>
        <w:tblLook w:firstColumn="1" w:firstRow="1" w:lastColumn="0" w:lastRow="0" w:noHBand="0" w:noVBand="1" w:val="04A0"/>
      </w:tblPr>
      <w:tblGrid>
        <w:gridCol w:w="9072"/>
      </w:tblGrid>
      <w:tr>
        <w:tc>
          <w:tcPr>
            <w:tcW w:type="dxa" w:w="9072"/>
            <w:shd w:val="clear" w:color="auto" w:fill="142345"/>
          </w:tcPr>
          <w:p>
            <w:r>
              <w:rPr>
                <w:rFonts w:ascii="Calibri" w:hAnsi="Calibri"/>
                <w:b/>
                <w:i w:val="0"/>
                <w:color w:val="FFFFFF"/>
                <w:sz w:val="24"/>
              </w:rPr>
              <w:t>Phase 1  |  Apr – Sep 2026  —  Foundation &amp; Positioning</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18"/>
              </w:rPr>
              <w:t>Apr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Complete Atlan POC presentation to Director of Data Governance. Own the follow-on recommendations, not just the dashboard.</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18"/>
              </w:rPr>
              <w:t>Apr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Begin DAMA-DMBOK study. Map DG_v1 project explicitly to DMBOK knowledge areas (Data Security, Data Quality, Metadata, Reference Data).</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18"/>
              </w:rPr>
              <w:t>May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Register for CDMP Associate exam. Target sitting the exam by September 2026.</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18"/>
              </w:rPr>
              <w:t>May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Request formal governance mandate or updated job description that reflects governance scope.</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18"/>
              </w:rPr>
              <w:t>Jun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Add Microsoft DP-900 (Azure Data Fundamentals) — low-effort, signals cloud awareness. Exam is 1 day of study.</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18"/>
              </w:rPr>
              <w:t>Jul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Present CIO SQL Reporting Initiative results at a broader stakeholder forum (not just technical leadership).</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18"/>
              </w:rPr>
              <w:t>Aug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Identify and document 3 data domain owners. Propose a lightweight Data Stewardship Charter based on DG_v1 findings.</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42345"/>
              <w:left w:val="single" w:sz="6" w:space="0" w:color="142345"/>
              <w:bottom w:val="single" w:sz="6" w:space="0" w:color="142345"/>
              <w:right w:val="single" w:sz="6" w:space="0" w:color="142345"/>
            </w:tcBorders>
          </w:tcPr>
          <w:p>
            <w:r>
              <w:rPr>
                <w:rFonts w:ascii="Calibri" w:hAnsi="Calibri"/>
                <w:b/>
                <w:i w:val="0"/>
                <w:color w:val="142345"/>
                <w:sz w:val="18"/>
              </w:rPr>
              <w:t>Sep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Sit CDMP Associate exam. Add credential to LinkedIn and internal profile immediately.</w:t>
            </w:r>
          </w:p>
        </w:tc>
      </w:tr>
    </w:tbl>
    <w:p/>
    <w:p>
      <w:r>
        <w:br w:type="page"/>
      </w:r>
    </w:p>
    <w:tbl>
      <w:tblPr>
        <w:tblW w:type="auto" w:w="0"/>
        <w:tblLook w:firstColumn="1" w:firstRow="1" w:lastColumn="0" w:lastRow="0" w:noHBand="0" w:noVBand="1" w:val="04A0"/>
      </w:tblPr>
      <w:tblGrid>
        <w:gridCol w:w="9072"/>
      </w:tblGrid>
      <w:tr>
        <w:tc>
          <w:tcPr>
            <w:tcW w:type="dxa" w:w="9072"/>
            <w:shd w:val="clear" w:color="auto" w:fill="1A7A8A"/>
          </w:tcPr>
          <w:p>
            <w:r>
              <w:rPr>
                <w:rFonts w:ascii="Calibri" w:hAnsi="Calibri"/>
                <w:b/>
                <w:i w:val="0"/>
                <w:color w:val="FFFFFF"/>
                <w:sz w:val="24"/>
              </w:rPr>
              <w:t>Phase 2  |  Oct 2026 – Mar 2027  —  Governance Programme Ownership</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18"/>
              </w:rPr>
              <w:t>Oct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DG_v2 scoping — expand governance dashboard beyond SQL Server. Include ETL layer, EDW, and at minimum one cloud data source.</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18"/>
              </w:rPr>
              <w:t>Oct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Formalise the Data Stewardship network — regular cadence with domain owners. Own the agenda and outputs.</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18"/>
              </w:rPr>
              <w:t>Nov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Central Admin Database Platform v2 — add governance metadata (steward, classification, policy reference) as first-class fields.</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18"/>
              </w:rPr>
              <w:t>Dec 2026</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End-of-year governance posture report to Director / CIO. Governance Readiness Score comparison: Mar 2026 baseline vs Dec 2026.</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18"/>
              </w:rPr>
              <w:t>Jan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Begin CDMP Practitioner study or equivalent senior credential (e.g. Microsoft Certified: Azure Data Engineer Associate DP-203).</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18"/>
              </w:rPr>
              <w:t>Feb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Datadog governance overlay — add compliance posture metrics (patch compliance %, SLA breach rate) to CIO reporting stack.</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1A7A8A"/>
              <w:left w:val="single" w:sz="6" w:space="0" w:color="1A7A8A"/>
              <w:bottom w:val="single" w:sz="6" w:space="0" w:color="1A7A8A"/>
              <w:right w:val="single" w:sz="6" w:space="0" w:color="1A7A8A"/>
            </w:tcBorders>
          </w:tcPr>
          <w:p>
            <w:r>
              <w:rPr>
                <w:rFonts w:ascii="Calibri" w:hAnsi="Calibri"/>
                <w:b/>
                <w:i w:val="0"/>
                <w:color w:val="1A7A8A"/>
                <w:sz w:val="18"/>
              </w:rPr>
              <w:t>Mar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Publish an internal white paper: 'SQL Server Governance at Scale — Lessons from 35 Instances.' Circulate to Director + Data leadership.</w:t>
            </w:r>
          </w:p>
        </w:tc>
      </w:tr>
    </w:tbl>
    <w:p/>
    <w:p>
      <w:r>
        <w:br w:type="page"/>
      </w:r>
    </w:p>
    <w:tbl>
      <w:tblPr>
        <w:tblW w:type="auto" w:w="0"/>
        <w:tblLook w:firstColumn="1" w:firstRow="1" w:lastColumn="0" w:lastRow="0" w:noHBand="0" w:noVBand="1" w:val="04A0"/>
      </w:tblPr>
      <w:tblGrid>
        <w:gridCol w:w="9072"/>
      </w:tblGrid>
      <w:tr>
        <w:tc>
          <w:tcPr>
            <w:tcW w:type="dxa" w:w="9072"/>
            <w:shd w:val="clear" w:color="auto" w:fill="D48F1A"/>
          </w:tcPr>
          <w:p>
            <w:r>
              <w:rPr>
                <w:rFonts w:ascii="Calibri" w:hAnsi="Calibri"/>
                <w:b/>
                <w:i w:val="0"/>
                <w:color w:val="FFFFFF"/>
                <w:sz w:val="24"/>
              </w:rPr>
              <w:t>Phase 3  |  Apr – Sep 2027  —  Platform Breadth &amp; Senior Visibility</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D48F1A"/>
              <w:left w:val="single" w:sz="6" w:space="0" w:color="D48F1A"/>
              <w:bottom w:val="single" w:sz="6" w:space="0" w:color="D48F1A"/>
              <w:right w:val="single" w:sz="6" w:space="0" w:color="D48F1A"/>
            </w:tcBorders>
          </w:tcPr>
          <w:p>
            <w:r>
              <w:rPr>
                <w:rFonts w:ascii="Calibri" w:hAnsi="Calibri"/>
                <w:b/>
                <w:i w:val="0"/>
                <w:color w:val="D48F1A"/>
                <w:sz w:val="18"/>
              </w:rPr>
              <w:t>Apr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Add cloud data governance component — Azure Purview or Microsoft Fabric governance features. Pilot on one non-SQL workload.</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D48F1A"/>
              <w:left w:val="single" w:sz="6" w:space="0" w:color="D48F1A"/>
              <w:bottom w:val="single" w:sz="6" w:space="0" w:color="D48F1A"/>
              <w:right w:val="single" w:sz="6" w:space="0" w:color="D48F1A"/>
            </w:tcBorders>
          </w:tcPr>
          <w:p>
            <w:r>
              <w:rPr>
                <w:rFonts w:ascii="Calibri" w:hAnsi="Calibri"/>
                <w:b/>
                <w:i w:val="0"/>
                <w:color w:val="D48F1A"/>
                <w:sz w:val="18"/>
              </w:rPr>
              <w:t>May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Sit CDMP Practitioner exam (or DP-203). Senior-level credential in hand.</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D48F1A"/>
              <w:left w:val="single" w:sz="6" w:space="0" w:color="D48F1A"/>
              <w:bottom w:val="single" w:sz="6" w:space="0" w:color="D48F1A"/>
              <w:right w:val="single" w:sz="6" w:space="0" w:color="D48F1A"/>
            </w:tcBorders>
          </w:tcPr>
          <w:p>
            <w:r>
              <w:rPr>
                <w:rFonts w:ascii="Calibri" w:hAnsi="Calibri"/>
                <w:b/>
                <w:i w:val="0"/>
                <w:color w:val="D48F1A"/>
                <w:sz w:val="18"/>
              </w:rPr>
              <w:t>Jun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Present governance programme results at an external forum (internal tech conference, local DAMA chapter, or industry event).</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D48F1A"/>
              <w:left w:val="single" w:sz="6" w:space="0" w:color="D48F1A"/>
              <w:bottom w:val="single" w:sz="6" w:space="0" w:color="D48F1A"/>
              <w:right w:val="single" w:sz="6" w:space="0" w:color="D48F1A"/>
            </w:tcBorders>
          </w:tcPr>
          <w:p>
            <w:r>
              <w:rPr>
                <w:rFonts w:ascii="Calibri" w:hAnsi="Calibri"/>
                <w:b/>
                <w:i w:val="0"/>
                <w:color w:val="D48F1A"/>
                <w:sz w:val="18"/>
              </w:rPr>
              <w:t>Jul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Formally propose the Data Governance Lead / Head of Data Governance role to leadership. Bring the programme track record as evidence.</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D48F1A"/>
              <w:left w:val="single" w:sz="6" w:space="0" w:color="D48F1A"/>
              <w:bottom w:val="single" w:sz="6" w:space="0" w:color="D48F1A"/>
              <w:right w:val="single" w:sz="6" w:space="0" w:color="D48F1A"/>
            </w:tcBorders>
          </w:tcPr>
          <w:p>
            <w:r>
              <w:rPr>
                <w:rFonts w:ascii="Calibri" w:hAnsi="Calibri"/>
                <w:b/>
                <w:i w:val="0"/>
                <w:color w:val="D48F1A"/>
                <w:sz w:val="18"/>
              </w:rPr>
              <w:t>Aug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Mentor a junior data team member on governance fundamentals. Leadership visibility through others' growth.</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D48F1A"/>
              <w:left w:val="single" w:sz="6" w:space="0" w:color="D48F1A"/>
              <w:bottom w:val="single" w:sz="6" w:space="0" w:color="D48F1A"/>
              <w:right w:val="single" w:sz="6" w:space="0" w:color="D48F1A"/>
            </w:tcBorders>
          </w:tcPr>
          <w:p>
            <w:r>
              <w:rPr>
                <w:rFonts w:ascii="Calibri" w:hAnsi="Calibri"/>
                <w:b/>
                <w:i w:val="0"/>
                <w:color w:val="D48F1A"/>
                <w:sz w:val="18"/>
              </w:rPr>
              <w:t>Sep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DG_v3 roadmap — propose enterprise-wide data governance strategy including master data, reference data, and lineage.</w:t>
            </w:r>
          </w:p>
        </w:tc>
      </w:tr>
    </w:tbl>
    <w:p/>
    <w:p>
      <w:r>
        <w:br w:type="page"/>
      </w:r>
    </w:p>
    <w:tbl>
      <w:tblPr>
        <w:tblW w:type="auto" w:w="0"/>
        <w:tblLook w:firstColumn="1" w:firstRow="1" w:lastColumn="0" w:lastRow="0" w:noHBand="0" w:noVBand="1" w:val="04A0"/>
      </w:tblPr>
      <w:tblGrid>
        <w:gridCol w:w="9072"/>
      </w:tblGrid>
      <w:tr>
        <w:tc>
          <w:tcPr>
            <w:tcW w:type="dxa" w:w="9072"/>
            <w:shd w:val="clear" w:color="auto" w:fill="274A3A"/>
          </w:tcPr>
          <w:p>
            <w:r>
              <w:rPr>
                <w:rFonts w:ascii="Calibri" w:hAnsi="Calibri"/>
                <w:b/>
                <w:i w:val="0"/>
                <w:color w:val="FFFFFF"/>
                <w:sz w:val="24"/>
              </w:rPr>
              <w:t>Phase 4  |  Oct – Dec 2027  —  Director Readiness</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274A3A"/>
              <w:left w:val="single" w:sz="6" w:space="0" w:color="274A3A"/>
              <w:bottom w:val="single" w:sz="6" w:space="0" w:color="274A3A"/>
              <w:right w:val="single" w:sz="6" w:space="0" w:color="274A3A"/>
            </w:tcBorders>
          </w:tcPr>
          <w:p>
            <w:r>
              <w:rPr>
                <w:rFonts w:ascii="Calibri" w:hAnsi="Calibri"/>
                <w:b/>
                <w:i w:val="0"/>
                <w:color w:val="274A3A"/>
                <w:sz w:val="18"/>
              </w:rPr>
              <w:t>Oct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Budget ownership — propose and own a governance tools budget (Atlan license, catalogue tooling, stewardship platform).</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274A3A"/>
              <w:left w:val="single" w:sz="6" w:space="0" w:color="274A3A"/>
              <w:bottom w:val="single" w:sz="6" w:space="0" w:color="274A3A"/>
              <w:right w:val="single" w:sz="6" w:space="0" w:color="274A3A"/>
            </w:tcBorders>
          </w:tcPr>
          <w:p>
            <w:r>
              <w:rPr>
                <w:rFonts w:ascii="Calibri" w:hAnsi="Calibri"/>
                <w:b/>
                <w:i w:val="0"/>
                <w:color w:val="274A3A"/>
                <w:sz w:val="18"/>
              </w:rPr>
              <w:t>Nov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Board-level governance report — translate programme metrics into business risk language for executive leadership.</w:t>
            </w:r>
          </w:p>
        </w:tc>
      </w:tr>
    </w:tbl>
    <w:p/>
    <w:tbl>
      <w:tblPr>
        <w:tblW w:type="auto" w:w="0"/>
        <w:tblLook w:firstColumn="1" w:firstRow="1" w:lastColumn="0" w:lastRow="0" w:noHBand="0" w:noVBand="1" w:val="04A0"/>
      </w:tblPr>
      <w:tblGrid>
        <w:gridCol w:w="4536"/>
        <w:gridCol w:w="4536"/>
      </w:tblGrid>
      <w:tr>
        <w:tc>
          <w:tcPr>
            <w:tcW w:type="dxa" w:w="1728"/>
            <w:shd w:val="clear" w:color="auto" w:fill="F4F6F8"/>
            <w:tcBorders>
              <w:top w:val="single" w:sz="6" w:space="0" w:color="274A3A"/>
              <w:left w:val="single" w:sz="6" w:space="0" w:color="274A3A"/>
              <w:bottom w:val="single" w:sz="6" w:space="0" w:color="274A3A"/>
              <w:right w:val="single" w:sz="6" w:space="0" w:color="274A3A"/>
            </w:tcBorders>
          </w:tcPr>
          <w:p>
            <w:r>
              <w:rPr>
                <w:rFonts w:ascii="Calibri" w:hAnsi="Calibri"/>
                <w:b/>
                <w:i w:val="0"/>
                <w:color w:val="274A3A"/>
                <w:sz w:val="18"/>
              </w:rPr>
              <w:t>Dec 2027</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0"/>
              </w:rPr>
              <w:t>24-month review — Governance Readiness Score target: 60+/100 (vs 18/100 baseline). Document the journey and the delta.</w:t>
            </w:r>
          </w:p>
        </w:tc>
      </w:tr>
    </w:tbl>
    <w:p/>
    <w:p>
      <w:r>
        <w:br w:type="page"/>
      </w:r>
    </w:p>
    <w:p>
      <w:pPr>
        <w:spacing w:before="240" w:after="120"/>
      </w:pPr>
      <w:r>
        <w:rPr>
          <w:rFonts w:ascii="Calibri" w:hAnsi="Calibri"/>
          <w:b/>
          <w:i w:val="0"/>
          <w:color w:val="142345"/>
          <w:sz w:val="36"/>
        </w:rPr>
        <w:t>06  |  Certification Roadmap</w:t>
      </w:r>
    </w:p>
    <w:p>
      <w:pPr>
        <w:spacing w:before="40" w:after="160"/>
        <w:pBdr>
          <w:bottom w:val="single" w:sz="6" w:space="1" w:color="1A7A8A"/>
        </w:pBdr>
      </w:pPr>
    </w:p>
    <w:tbl>
      <w:tblPr>
        <w:tblW w:type="auto" w:w="0"/>
        <w:tblLook w:firstColumn="1" w:firstRow="1" w:lastColumn="0" w:lastRow="0" w:noHBand="0" w:noVBand="1" w:val="04A0"/>
      </w:tblPr>
      <w:tblGrid>
        <w:gridCol w:w="9072"/>
      </w:tblGrid>
      <w:tr>
        <w:tc>
          <w:tcPr>
            <w:tcW w:type="dxa" w:w="9072"/>
            <w:shd w:val="clear" w:color="auto" w:fill="F4F6F8"/>
            <w:tcBorders>
              <w:top w:val="single" w:sz="8" w:space="0" w:color="142345"/>
              <w:left w:val="single" w:sz="8" w:space="0" w:color="142345"/>
              <w:bottom w:val="single" w:sz="8" w:space="0" w:color="142345"/>
              <w:right w:val="single" w:sz="8" w:space="0" w:color="142345"/>
            </w:tcBorders>
          </w:tcPr>
          <w:p>
            <w:r>
              <w:rPr>
                <w:rFonts w:ascii="Calibri" w:hAnsi="Calibri"/>
                <w:b/>
                <w:i w:val="0"/>
                <w:color w:val="142345"/>
                <w:sz w:val="26"/>
              </w:rPr>
              <w:t>CDMP Associate</w:t>
            </w:r>
          </w:p>
          <w:p>
            <w:r>
              <w:rPr>
                <w:rFonts w:ascii="Calibri" w:hAnsi="Calibri"/>
                <w:b w:val="0"/>
                <w:i/>
                <w:color w:val="4A5A6A"/>
                <w:sz w:val="20"/>
              </w:rPr>
              <w:t>DAMA International  |  Target: Sep 2026</w:t>
            </w:r>
          </w:p>
          <w:p>
            <w:r>
              <w:rPr>
                <w:rFonts w:ascii="Calibri" w:hAnsi="Calibri"/>
                <w:b w:val="0"/>
                <w:i w:val="0"/>
                <w:color w:val="4A5A6A"/>
                <w:sz w:val="20"/>
              </w:rPr>
              <w:t>Core credential for data governance professionals. Based on DAMA-DMBOK. 110-question exam, 60-question supplemental. Study time: 40–60 hours. Maps directly to DG_v1 work (Data Security, Data Quality, Metadata Management). This is the most important credential on this list — take it first.</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8" w:space="0" w:color="0078D4"/>
              <w:left w:val="single" w:sz="8" w:space="0" w:color="0078D4"/>
              <w:bottom w:val="single" w:sz="8" w:space="0" w:color="0078D4"/>
              <w:right w:val="single" w:sz="8" w:space="0" w:color="0078D4"/>
            </w:tcBorders>
          </w:tcPr>
          <w:p>
            <w:r>
              <w:rPr>
                <w:rFonts w:ascii="Calibri" w:hAnsi="Calibri"/>
                <w:b/>
                <w:i w:val="0"/>
                <w:color w:val="0078D4"/>
                <w:sz w:val="26"/>
              </w:rPr>
              <w:t>Microsoft DP-900</w:t>
            </w:r>
          </w:p>
          <w:p>
            <w:r>
              <w:rPr>
                <w:rFonts w:ascii="Calibri" w:hAnsi="Calibri"/>
                <w:b w:val="0"/>
                <w:i/>
                <w:color w:val="4A5A6A"/>
                <w:sz w:val="20"/>
              </w:rPr>
              <w:t>Microsoft  |  Target: Jun 2026</w:t>
            </w:r>
          </w:p>
          <w:p>
            <w:r>
              <w:rPr>
                <w:rFonts w:ascii="Calibri" w:hAnsi="Calibri"/>
                <w:b w:val="0"/>
                <w:i w:val="0"/>
                <w:color w:val="4A5A6A"/>
                <w:sz w:val="20"/>
              </w:rPr>
              <w:t>Azure Data Fundamentals. Low-effort entry point to cloud data literacy. 1–2 days of preparation. Signals cloud awareness to data leadership.</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8" w:space="0" w:color="1A7A8A"/>
              <w:left w:val="single" w:sz="8" w:space="0" w:color="1A7A8A"/>
              <w:bottom w:val="single" w:sz="8" w:space="0" w:color="1A7A8A"/>
              <w:right w:val="single" w:sz="8" w:space="0" w:color="1A7A8A"/>
            </w:tcBorders>
          </w:tcPr>
          <w:p>
            <w:r>
              <w:rPr>
                <w:rFonts w:ascii="Calibri" w:hAnsi="Calibri"/>
                <w:b/>
                <w:i w:val="0"/>
                <w:color w:val="1A7A8A"/>
                <w:sz w:val="26"/>
              </w:rPr>
              <w:t>CDMP Practitioner</w:t>
            </w:r>
          </w:p>
          <w:p>
            <w:r>
              <w:rPr>
                <w:rFonts w:ascii="Calibri" w:hAnsi="Calibri"/>
                <w:b w:val="0"/>
                <w:i/>
                <w:color w:val="4A5A6A"/>
                <w:sz w:val="20"/>
              </w:rPr>
              <w:t>DAMA International  |  Target: May 2027</w:t>
            </w:r>
          </w:p>
          <w:p>
            <w:r>
              <w:rPr>
                <w:rFonts w:ascii="Calibri" w:hAnsi="Calibri"/>
                <w:b w:val="0"/>
                <w:i w:val="0"/>
                <w:color w:val="4A5A6A"/>
                <w:sz w:val="20"/>
              </w:rPr>
              <w:t>Senior-level follow-on to CDMP Associate. Requires Associate + 2 specialist exams. Recommended specialist areas: Data Quality Management + Data Governance &amp; Stewardship.</w:t>
            </w:r>
          </w:p>
        </w:tc>
      </w:tr>
    </w:tbl>
    <w:p/>
    <w:tbl>
      <w:tblPr>
        <w:tblW w:type="auto" w:w="0"/>
        <w:tblLook w:firstColumn="1" w:firstRow="1" w:lastColumn="0" w:lastRow="0" w:noHBand="0" w:noVBand="1" w:val="04A0"/>
      </w:tblPr>
      <w:tblGrid>
        <w:gridCol w:w="9072"/>
      </w:tblGrid>
      <w:tr>
        <w:tc>
          <w:tcPr>
            <w:tcW w:type="dxa" w:w="9072"/>
            <w:shd w:val="clear" w:color="auto" w:fill="F4F6F8"/>
            <w:tcBorders>
              <w:top w:val="single" w:sz="8" w:space="0" w:color="D48F1A"/>
              <w:left w:val="single" w:sz="8" w:space="0" w:color="D48F1A"/>
              <w:bottom w:val="single" w:sz="8" w:space="0" w:color="D48F1A"/>
              <w:right w:val="single" w:sz="8" w:space="0" w:color="D48F1A"/>
            </w:tcBorders>
          </w:tcPr>
          <w:p>
            <w:r>
              <w:rPr>
                <w:rFonts w:ascii="Calibri" w:hAnsi="Calibri"/>
                <w:b/>
                <w:i w:val="0"/>
                <w:color w:val="D48F1A"/>
                <w:sz w:val="26"/>
              </w:rPr>
              <w:t>DP-203 (Optional)</w:t>
            </w:r>
          </w:p>
          <w:p>
            <w:r>
              <w:rPr>
                <w:rFonts w:ascii="Calibri" w:hAnsi="Calibri"/>
                <w:b w:val="0"/>
                <w:i/>
                <w:color w:val="4A5A6A"/>
                <w:sz w:val="20"/>
              </w:rPr>
              <w:t>Microsoft  |  Target: Q1 2027</w:t>
            </w:r>
          </w:p>
          <w:p>
            <w:r>
              <w:rPr>
                <w:rFonts w:ascii="Calibri" w:hAnsi="Calibri"/>
                <w:b w:val="0"/>
                <w:i w:val="0"/>
                <w:color w:val="4A5A6A"/>
                <w:sz w:val="20"/>
              </w:rPr>
              <w:t>Azure Data Engineer Associate. Relevant if cloud migration or Fabric adoption accelerates. More technical than governance-focused but increases platform breadth credibility.</w:t>
            </w:r>
          </w:p>
        </w:tc>
      </w:tr>
    </w:tbl>
    <w:p/>
    <w:p>
      <w:r>
        <w:br w:type="page"/>
      </w:r>
    </w:p>
    <w:p>
      <w:pPr>
        <w:spacing w:before="240" w:after="120"/>
      </w:pPr>
      <w:r>
        <w:rPr>
          <w:rFonts w:ascii="Calibri" w:hAnsi="Calibri"/>
          <w:b/>
          <w:i w:val="0"/>
          <w:color w:val="142345"/>
          <w:sz w:val="36"/>
        </w:rPr>
        <w:t>07  |  Skills Matrix</w:t>
      </w:r>
    </w:p>
    <w:p>
      <w:pPr>
        <w:spacing w:before="40" w:after="160"/>
        <w:pBdr>
          <w:bottom w:val="single" w:sz="6" w:space="1" w:color="1A7A8A"/>
        </w:pBdr>
      </w:pPr>
    </w:p>
    <w:p>
      <w:pPr>
        <w:spacing w:after="120"/>
      </w:pPr>
      <w:r>
        <w:rPr>
          <w:rFonts w:ascii="Calibri" w:hAnsi="Calibri"/>
          <w:b w:val="0"/>
          <w:i w:val="0"/>
          <w:color w:val="4A5A6A"/>
          <w:sz w:val="22"/>
        </w:rPr>
        <w:t>Current skill levels rated 1–5. Target levels represent the Senior DG Leader / Director of Data Governance bar. Gap = effort required.</w:t>
      </w:r>
    </w:p>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42345"/>
          </w:tcPr>
          <w:p>
            <w:r>
              <w:rPr>
                <w:rFonts w:ascii="Calibri" w:hAnsi="Calibri"/>
                <w:b/>
                <w:i w:val="0"/>
                <w:color w:val="FFFFFF"/>
                <w:sz w:val="20"/>
              </w:rPr>
              <w:t>Skill</w:t>
            </w:r>
          </w:p>
        </w:tc>
        <w:tc>
          <w:tcPr>
            <w:tcW w:type="dxa" w:w="2268"/>
            <w:shd w:val="clear" w:color="auto" w:fill="142345"/>
          </w:tcPr>
          <w:p>
            <w:r>
              <w:rPr>
                <w:rFonts w:ascii="Calibri" w:hAnsi="Calibri"/>
                <w:b/>
                <w:i w:val="0"/>
                <w:color w:val="FFFFFF"/>
                <w:sz w:val="20"/>
              </w:rPr>
              <w:t>Current</w:t>
            </w:r>
          </w:p>
        </w:tc>
        <w:tc>
          <w:tcPr>
            <w:tcW w:type="dxa" w:w="2268"/>
            <w:shd w:val="clear" w:color="auto" w:fill="142345"/>
          </w:tcPr>
          <w:p>
            <w:r>
              <w:rPr>
                <w:rFonts w:ascii="Calibri" w:hAnsi="Calibri"/>
                <w:b/>
                <w:i w:val="0"/>
                <w:color w:val="FFFFFF"/>
                <w:sz w:val="20"/>
              </w:rPr>
              <w:t>Target (Director)</w:t>
            </w:r>
          </w:p>
        </w:tc>
        <w:tc>
          <w:tcPr>
            <w:tcW w:type="dxa" w:w="2268"/>
            <w:shd w:val="clear" w:color="auto" w:fill="142345"/>
          </w:tcPr>
          <w:p>
            <w:r>
              <w:rPr>
                <w:rFonts w:ascii="Calibri" w:hAnsi="Calibri"/>
                <w:b/>
                <w:i w:val="0"/>
                <w:color w:val="FFFFFF"/>
                <w:sz w:val="20"/>
              </w:rPr>
              <w:t>Gap</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SQL Server DBA</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None (exceeds)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Data Governance Frameworks</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High — CDMP study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Governance Risk Quantification</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Low — DG_v1 already strong</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Executive Communication</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Medium — reframe existing work</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Metadata Management</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Medium — deepen with Atlan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Data Stewardship Programme</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High — Phase 1 priority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Cloud Data Platforms</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Medium — DP-900 + Purview pilot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Policy &amp; Standards Writing</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High — Phase 2 deliverable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Platform Observability</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Low — Datadog work covers this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Stakeholder Leadership</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Medium — mandate + DG programme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Data Quality Management</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High — add to DG_v2 scope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b/>
                <w:i w:val="0"/>
                <w:color w:val="142345"/>
                <w:sz w:val="20"/>
              </w:rPr>
              <w:t>Backup / Recoverability</w:t>
            </w:r>
          </w:p>
        </w:tc>
        <w:tc>
          <w:tcPr>
            <w:tcW w:type="dxa" w:w="2268"/>
            <w:shd w:val="clear" w:color="auto" w:fill="EBF5F8"/>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A7A8A"/>
                <w:sz w:val="20"/>
              </w:rPr>
              <w:t>●●●●●</w:t>
            </w:r>
          </w:p>
        </w:tc>
        <w:tc>
          <w:tcPr>
            <w:tcW w:type="dxa" w:w="2268"/>
            <w:shd w:val="clear" w:color="auto" w:fill="EBFAF1"/>
            <w:tcBorders>
              <w:top w:val="single" w:sz="4" w:space="0" w:color="CCCCCC"/>
              <w:left w:val="single" w:sz="4" w:space="0" w:color="CCCCCC"/>
              <w:bottom w:val="single" w:sz="4" w:space="0" w:color="CCCCCC"/>
              <w:right w:val="single" w:sz="4" w:space="0" w:color="CCCCCC"/>
            </w:tcBorders>
          </w:tcPr>
          <w:p>
            <w:r>
              <w:rPr>
                <w:rFonts w:ascii="Calibri" w:hAnsi="Calibri"/>
                <w:b w:val="0"/>
                <w:i w:val="0"/>
                <w:color w:val="277A4A"/>
                <w:sz w:val="20"/>
              </w:rPr>
              <w:t>●●●●○</w:t>
            </w:r>
          </w:p>
        </w:tc>
        <w:tc>
          <w:tcPr>
            <w:tcW w:type="dxa" w:w="2268"/>
            <w:shd w:val="clear" w:color="auto" w:fill="FFF8EC"/>
            <w:tcBorders>
              <w:top w:val="single" w:sz="4" w:space="0" w:color="CCCCCC"/>
              <w:left w:val="single" w:sz="4" w:space="0" w:color="CCCCCC"/>
              <w:bottom w:val="single" w:sz="4" w:space="0" w:color="CCCCCC"/>
              <w:right w:val="single" w:sz="4" w:space="0" w:color="CCCCCC"/>
            </w:tcBorders>
          </w:tcPr>
          <w:p>
            <w:r>
              <w:rPr>
                <w:rFonts w:ascii="Calibri" w:hAnsi="Calibri"/>
                <w:b w:val="0"/>
                <w:i w:val="0"/>
                <w:color w:val="D48F1A"/>
                <w:sz w:val="20"/>
              </w:rPr>
              <w:t>None (exceeds)</w:t>
            </w:r>
          </w:p>
        </w:tc>
      </w:tr>
    </w:tbl>
    <w:p>
      <w:r>
        <w:br w:type="page"/>
      </w:r>
    </w:p>
    <w:p>
      <w:pPr>
        <w:spacing w:before="240" w:after="120"/>
      </w:pPr>
      <w:r>
        <w:rPr>
          <w:rFonts w:ascii="Calibri" w:hAnsi="Calibri"/>
          <w:b/>
          <w:i w:val="0"/>
          <w:color w:val="142345"/>
          <w:sz w:val="36"/>
        </w:rPr>
        <w:t>08  |  30 / 60 / 90 Day Immediate Actions</w:t>
      </w:r>
    </w:p>
    <w:p>
      <w:pPr>
        <w:spacing w:before="40" w:after="160"/>
        <w:pBdr>
          <w:bottom w:val="single" w:sz="6" w:space="1" w:color="1A7A8A"/>
        </w:pBdr>
      </w:pPr>
    </w:p>
    <w:p>
      <w:pPr>
        <w:spacing w:after="120"/>
      </w:pPr>
      <w:r>
        <w:rPr>
          <w:rFonts w:ascii="Calibri" w:hAnsi="Calibri"/>
          <w:b w:val="0"/>
          <w:i w:val="0"/>
          <w:color w:val="4A5A6A"/>
          <w:sz w:val="22"/>
        </w:rPr>
        <w:t>The single most important principle: do not wait for the title to do the work. The title follows the demonstrated track record. These actions start the clock.</w:t>
      </w:r>
    </w:p>
    <w:p/>
    <w:tbl>
      <w:tblPr>
        <w:tblW w:type="auto" w:w="0"/>
        <w:tblLook w:firstColumn="1" w:firstRow="1" w:lastColumn="0" w:lastRow="0" w:noHBand="0" w:noVBand="1" w:val="04A0"/>
      </w:tblPr>
      <w:tblGrid>
        <w:gridCol w:w="9072"/>
      </w:tblGrid>
      <w:tr>
        <w:tc>
          <w:tcPr>
            <w:tcW w:type="dxa" w:w="9072"/>
            <w:shd w:val="clear" w:color="auto" w:fill="1A7A8A"/>
          </w:tcPr>
          <w:p>
            <w:r>
              <w:rPr>
                <w:rFonts w:ascii="Calibri" w:hAnsi="Calibri"/>
                <w:b/>
                <w:i w:val="0"/>
                <w:color w:val="FFFFFF"/>
                <w:sz w:val="26"/>
              </w:rPr>
              <w:t>30 Days</w:t>
            </w:r>
          </w:p>
        </w:tc>
      </w:tr>
    </w:tbl>
    <w:p/>
    <w:tbl>
      <w:tblPr>
        <w:tblW w:type="auto" w:w="0"/>
        <w:tblLook w:firstColumn="1" w:firstRow="1" w:lastColumn="0" w:lastRow="0" w:noHBand="0" w:noVBand="1" w:val="04A0"/>
      </w:tblPr>
      <w:tblGrid>
        <w:gridCol w:w="4536"/>
        <w:gridCol w:w="4536"/>
      </w:tblGrid>
      <w:tr>
        <w:tc>
          <w:tcPr>
            <w:tcW w:type="dxa" w:w="576"/>
            <w:shd w:val="clear" w:color="auto" w:fill="1A7A8A"/>
          </w:tcPr>
          <w:p>
            <w:pPr>
              <w:jc w:val="center"/>
            </w:pPr>
            <w:r>
              <w:rPr>
                <w:rFonts w:ascii="Calibri" w:hAnsi="Calibri"/>
                <w:b/>
                <w:i w:val="0"/>
                <w:color w:val="FFFFFF"/>
                <w:sz w:val="24"/>
              </w:rPr>
              <w:t>1</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Complete and present the Atlan POC governance dashboard to the Director of Data Governance. Own the follow-on recommendations, not just the slides.</w:t>
            </w:r>
          </w:p>
        </w:tc>
      </w:tr>
    </w:tbl>
    <w:p/>
    <w:tbl>
      <w:tblPr>
        <w:tblW w:type="auto" w:w="0"/>
        <w:tblLook w:firstColumn="1" w:firstRow="1" w:lastColumn="0" w:lastRow="0" w:noHBand="0" w:noVBand="1" w:val="04A0"/>
      </w:tblPr>
      <w:tblGrid>
        <w:gridCol w:w="4536"/>
        <w:gridCol w:w="4536"/>
      </w:tblGrid>
      <w:tr>
        <w:tc>
          <w:tcPr>
            <w:tcW w:type="dxa" w:w="576"/>
            <w:shd w:val="clear" w:color="auto" w:fill="1A7A8A"/>
          </w:tcPr>
          <w:p>
            <w:pPr>
              <w:jc w:val="center"/>
            </w:pPr>
            <w:r>
              <w:rPr>
                <w:rFonts w:ascii="Calibri" w:hAnsi="Calibri"/>
                <w:b/>
                <w:i w:val="0"/>
                <w:color w:val="FFFFFF"/>
                <w:sz w:val="24"/>
              </w:rPr>
              <w:t>2</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Update LinkedIn and internal profile to include 'Data Governance' as a primary function alongside DBA Lead.</w:t>
            </w:r>
          </w:p>
        </w:tc>
      </w:tr>
    </w:tbl>
    <w:p/>
    <w:tbl>
      <w:tblPr>
        <w:tblW w:type="auto" w:w="0"/>
        <w:tblLook w:firstColumn="1" w:firstRow="1" w:lastColumn="0" w:lastRow="0" w:noHBand="0" w:noVBand="1" w:val="04A0"/>
      </w:tblPr>
      <w:tblGrid>
        <w:gridCol w:w="4536"/>
        <w:gridCol w:w="4536"/>
      </w:tblGrid>
      <w:tr>
        <w:tc>
          <w:tcPr>
            <w:tcW w:type="dxa" w:w="576"/>
            <w:shd w:val="clear" w:color="auto" w:fill="1A7A8A"/>
          </w:tcPr>
          <w:p>
            <w:pPr>
              <w:jc w:val="center"/>
            </w:pPr>
            <w:r>
              <w:rPr>
                <w:rFonts w:ascii="Calibri" w:hAnsi="Calibri"/>
                <w:b/>
                <w:i w:val="0"/>
                <w:color w:val="FFFFFF"/>
                <w:sz w:val="24"/>
              </w:rPr>
              <w:t>3</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Order DAMA-DMBOK 2nd Edition. Begin reading the Data Governance and Data Security chapters — they map to DG_v1 directly.</w:t>
            </w:r>
          </w:p>
        </w:tc>
      </w:tr>
    </w:tbl>
    <w:p/>
    <w:tbl>
      <w:tblPr>
        <w:tblW w:type="auto" w:w="0"/>
        <w:tblLook w:firstColumn="1" w:firstRow="1" w:lastColumn="0" w:lastRow="0" w:noHBand="0" w:noVBand="1" w:val="04A0"/>
      </w:tblPr>
      <w:tblGrid>
        <w:gridCol w:w="4536"/>
        <w:gridCol w:w="4536"/>
      </w:tblGrid>
      <w:tr>
        <w:tc>
          <w:tcPr>
            <w:tcW w:type="dxa" w:w="576"/>
            <w:shd w:val="clear" w:color="auto" w:fill="1A7A8A"/>
          </w:tcPr>
          <w:p>
            <w:pPr>
              <w:jc w:val="center"/>
            </w:pPr>
            <w:r>
              <w:rPr>
                <w:rFonts w:ascii="Calibri" w:hAnsi="Calibri"/>
                <w:b/>
                <w:i w:val="0"/>
                <w:color w:val="FFFFFF"/>
                <w:sz w:val="24"/>
              </w:rPr>
              <w:t>4</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Register for the CDMP Associate exam (dama.org). Set the exam date — commitment forces preparation.</w:t>
            </w:r>
          </w:p>
        </w:tc>
      </w:tr>
    </w:tbl>
    <w:p/>
    <w:p/>
    <w:tbl>
      <w:tblPr>
        <w:tblW w:type="auto" w:w="0"/>
        <w:tblLook w:firstColumn="1" w:firstRow="1" w:lastColumn="0" w:lastRow="0" w:noHBand="0" w:noVBand="1" w:val="04A0"/>
      </w:tblPr>
      <w:tblGrid>
        <w:gridCol w:w="9072"/>
      </w:tblGrid>
      <w:tr>
        <w:tc>
          <w:tcPr>
            <w:tcW w:type="dxa" w:w="9072"/>
            <w:shd w:val="clear" w:color="auto" w:fill="D48F1A"/>
          </w:tcPr>
          <w:p>
            <w:r>
              <w:rPr>
                <w:rFonts w:ascii="Calibri" w:hAnsi="Calibri"/>
                <w:b/>
                <w:i w:val="0"/>
                <w:color w:val="FFFFFF"/>
                <w:sz w:val="26"/>
              </w:rPr>
              <w:t>60 Days</w:t>
            </w:r>
          </w:p>
        </w:tc>
      </w:tr>
    </w:tbl>
    <w:p/>
    <w:tbl>
      <w:tblPr>
        <w:tblW w:type="auto" w:w="0"/>
        <w:tblLook w:firstColumn="1" w:firstRow="1" w:lastColumn="0" w:lastRow="0" w:noHBand="0" w:noVBand="1" w:val="04A0"/>
      </w:tblPr>
      <w:tblGrid>
        <w:gridCol w:w="4536"/>
        <w:gridCol w:w="4536"/>
      </w:tblGrid>
      <w:tr>
        <w:tc>
          <w:tcPr>
            <w:tcW w:type="dxa" w:w="576"/>
            <w:shd w:val="clear" w:color="auto" w:fill="D48F1A"/>
          </w:tcPr>
          <w:p>
            <w:pPr>
              <w:jc w:val="center"/>
            </w:pPr>
            <w:r>
              <w:rPr>
                <w:rFonts w:ascii="Calibri" w:hAnsi="Calibri"/>
                <w:b/>
                <w:i w:val="0"/>
                <w:color w:val="FFFFFF"/>
                <w:sz w:val="24"/>
              </w:rPr>
              <w:t>1</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Present a governance risk summary (not a technical update) to at least one business stakeholder outside of IT.</w:t>
            </w:r>
          </w:p>
        </w:tc>
      </w:tr>
    </w:tbl>
    <w:p/>
    <w:tbl>
      <w:tblPr>
        <w:tblW w:type="auto" w:w="0"/>
        <w:tblLook w:firstColumn="1" w:firstRow="1" w:lastColumn="0" w:lastRow="0" w:noHBand="0" w:noVBand="1" w:val="04A0"/>
      </w:tblPr>
      <w:tblGrid>
        <w:gridCol w:w="4536"/>
        <w:gridCol w:w="4536"/>
      </w:tblGrid>
      <w:tr>
        <w:tc>
          <w:tcPr>
            <w:tcW w:type="dxa" w:w="576"/>
            <w:shd w:val="clear" w:color="auto" w:fill="D48F1A"/>
          </w:tcPr>
          <w:p>
            <w:pPr>
              <w:jc w:val="center"/>
            </w:pPr>
            <w:r>
              <w:rPr>
                <w:rFonts w:ascii="Calibri" w:hAnsi="Calibri"/>
                <w:b/>
                <w:i w:val="0"/>
                <w:color w:val="FFFFFF"/>
                <w:sz w:val="24"/>
              </w:rPr>
              <w:t>2</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Register and sit the Microsoft DP-900 exam. Low barrier, signals cloud literacy.</w:t>
            </w:r>
          </w:p>
        </w:tc>
      </w:tr>
    </w:tbl>
    <w:p/>
    <w:tbl>
      <w:tblPr>
        <w:tblW w:type="auto" w:w="0"/>
        <w:tblLook w:firstColumn="1" w:firstRow="1" w:lastColumn="0" w:lastRow="0" w:noHBand="0" w:noVBand="1" w:val="04A0"/>
      </w:tblPr>
      <w:tblGrid>
        <w:gridCol w:w="4536"/>
        <w:gridCol w:w="4536"/>
      </w:tblGrid>
      <w:tr>
        <w:tc>
          <w:tcPr>
            <w:tcW w:type="dxa" w:w="576"/>
            <w:shd w:val="clear" w:color="auto" w:fill="D48F1A"/>
          </w:tcPr>
          <w:p>
            <w:pPr>
              <w:jc w:val="center"/>
            </w:pPr>
            <w:r>
              <w:rPr>
                <w:rFonts w:ascii="Calibri" w:hAnsi="Calibri"/>
                <w:b/>
                <w:i w:val="0"/>
                <w:color w:val="FFFFFF"/>
                <w:sz w:val="24"/>
              </w:rPr>
              <w:t>3</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Draft a lightweight Data Stewardship Charter based on the DG_v1 findings. Identify 3 data domain owners and share it.</w:t>
            </w:r>
          </w:p>
        </w:tc>
      </w:tr>
    </w:tbl>
    <w:p/>
    <w:tbl>
      <w:tblPr>
        <w:tblW w:type="auto" w:w="0"/>
        <w:tblLook w:firstColumn="1" w:firstRow="1" w:lastColumn="0" w:lastRow="0" w:noHBand="0" w:noVBand="1" w:val="04A0"/>
      </w:tblPr>
      <w:tblGrid>
        <w:gridCol w:w="4536"/>
        <w:gridCol w:w="4536"/>
      </w:tblGrid>
      <w:tr>
        <w:tc>
          <w:tcPr>
            <w:tcW w:type="dxa" w:w="576"/>
            <w:shd w:val="clear" w:color="auto" w:fill="D48F1A"/>
          </w:tcPr>
          <w:p>
            <w:pPr>
              <w:jc w:val="center"/>
            </w:pPr>
            <w:r>
              <w:rPr>
                <w:rFonts w:ascii="Calibri" w:hAnsi="Calibri"/>
                <w:b/>
                <w:i w:val="0"/>
                <w:color w:val="FFFFFF"/>
                <w:sz w:val="24"/>
              </w:rPr>
              <w:t>4</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Begin a governance programme log — document decisions made, risks identified, and recommendations accepted. This becomes your Director portfolio.</w:t>
            </w:r>
          </w:p>
        </w:tc>
      </w:tr>
    </w:tbl>
    <w:p/>
    <w:p/>
    <w:tbl>
      <w:tblPr>
        <w:tblW w:type="auto" w:w="0"/>
        <w:tblLook w:firstColumn="1" w:firstRow="1" w:lastColumn="0" w:lastRow="0" w:noHBand="0" w:noVBand="1" w:val="04A0"/>
      </w:tblPr>
      <w:tblGrid>
        <w:gridCol w:w="9072"/>
      </w:tblGrid>
      <w:tr>
        <w:tc>
          <w:tcPr>
            <w:tcW w:type="dxa" w:w="9072"/>
            <w:shd w:val="clear" w:color="auto" w:fill="142345"/>
          </w:tcPr>
          <w:p>
            <w:r>
              <w:rPr>
                <w:rFonts w:ascii="Calibri" w:hAnsi="Calibri"/>
                <w:b/>
                <w:i w:val="0"/>
                <w:color w:val="FFFFFF"/>
                <w:sz w:val="26"/>
              </w:rPr>
              <w:t>90 Days</w:t>
            </w:r>
          </w:p>
        </w:tc>
      </w:tr>
    </w:tbl>
    <w:p/>
    <w:tbl>
      <w:tblPr>
        <w:tblW w:type="auto" w:w="0"/>
        <w:tblLook w:firstColumn="1" w:firstRow="1" w:lastColumn="0" w:lastRow="0" w:noHBand="0" w:noVBand="1" w:val="04A0"/>
      </w:tblPr>
      <w:tblGrid>
        <w:gridCol w:w="4536"/>
        <w:gridCol w:w="4536"/>
      </w:tblGrid>
      <w:tr>
        <w:tc>
          <w:tcPr>
            <w:tcW w:type="dxa" w:w="576"/>
            <w:shd w:val="clear" w:color="auto" w:fill="142345"/>
          </w:tcPr>
          <w:p>
            <w:pPr>
              <w:jc w:val="center"/>
            </w:pPr>
            <w:r>
              <w:rPr>
                <w:rFonts w:ascii="Calibri" w:hAnsi="Calibri"/>
                <w:b/>
                <w:i w:val="0"/>
                <w:color w:val="FFFFFF"/>
                <w:sz w:val="24"/>
              </w:rPr>
              <w:t>1</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Sit CDMP Associate exam if preparation is complete, or confirm September 2026 date.</w:t>
            </w:r>
          </w:p>
        </w:tc>
      </w:tr>
    </w:tbl>
    <w:p/>
    <w:tbl>
      <w:tblPr>
        <w:tblW w:type="auto" w:w="0"/>
        <w:tblLook w:firstColumn="1" w:firstRow="1" w:lastColumn="0" w:lastRow="0" w:noHBand="0" w:noVBand="1" w:val="04A0"/>
      </w:tblPr>
      <w:tblGrid>
        <w:gridCol w:w="4536"/>
        <w:gridCol w:w="4536"/>
      </w:tblGrid>
      <w:tr>
        <w:tc>
          <w:tcPr>
            <w:tcW w:type="dxa" w:w="576"/>
            <w:shd w:val="clear" w:color="auto" w:fill="142345"/>
          </w:tcPr>
          <w:p>
            <w:pPr>
              <w:jc w:val="center"/>
            </w:pPr>
            <w:r>
              <w:rPr>
                <w:rFonts w:ascii="Calibri" w:hAnsi="Calibri"/>
                <w:b/>
                <w:i w:val="0"/>
                <w:color w:val="FFFFFF"/>
                <w:sz w:val="24"/>
              </w:rPr>
              <w:t>2</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Deliver the Q1 governance posture update using the Governance Readiness Score as a baseline metric.</w:t>
            </w:r>
          </w:p>
        </w:tc>
      </w:tr>
    </w:tbl>
    <w:p/>
    <w:tbl>
      <w:tblPr>
        <w:tblW w:type="auto" w:w="0"/>
        <w:tblLook w:firstColumn="1" w:firstRow="1" w:lastColumn="0" w:lastRow="0" w:noHBand="0" w:noVBand="1" w:val="04A0"/>
      </w:tblPr>
      <w:tblGrid>
        <w:gridCol w:w="4536"/>
        <w:gridCol w:w="4536"/>
      </w:tblGrid>
      <w:tr>
        <w:tc>
          <w:tcPr>
            <w:tcW w:type="dxa" w:w="576"/>
            <w:shd w:val="clear" w:color="auto" w:fill="142345"/>
          </w:tcPr>
          <w:p>
            <w:pPr>
              <w:jc w:val="center"/>
            </w:pPr>
            <w:r>
              <w:rPr>
                <w:rFonts w:ascii="Calibri" w:hAnsi="Calibri"/>
                <w:b/>
                <w:i w:val="0"/>
                <w:color w:val="FFFFFF"/>
                <w:sz w:val="24"/>
              </w:rPr>
              <w:t>3</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Formally request a conversation with your manager about the Data Governance Lead mandate — bring the project portfolio, the score, and the Atlan POC as evidence.</w:t>
            </w:r>
          </w:p>
        </w:tc>
      </w:tr>
    </w:tbl>
    <w:p/>
    <w:tbl>
      <w:tblPr>
        <w:tblW w:type="auto" w:w="0"/>
        <w:tblLook w:firstColumn="1" w:firstRow="1" w:lastColumn="0" w:lastRow="0" w:noHBand="0" w:noVBand="1" w:val="04A0"/>
      </w:tblPr>
      <w:tblGrid>
        <w:gridCol w:w="4536"/>
        <w:gridCol w:w="4536"/>
      </w:tblGrid>
      <w:tr>
        <w:tc>
          <w:tcPr>
            <w:tcW w:type="dxa" w:w="576"/>
            <w:shd w:val="clear" w:color="auto" w:fill="142345"/>
          </w:tcPr>
          <w:p>
            <w:pPr>
              <w:jc w:val="center"/>
            </w:pPr>
            <w:r>
              <w:rPr>
                <w:rFonts w:ascii="Calibri" w:hAnsi="Calibri"/>
                <w:b/>
                <w:i w:val="0"/>
                <w:color w:val="FFFFFF"/>
                <w:sz w:val="24"/>
              </w:rPr>
              <w:t>4</w:t>
            </w:r>
          </w:p>
        </w:tc>
        <w:tc>
          <w:tcPr>
            <w:tcW w:type="dxa" w:w="4536"/>
            <w:shd w:val="clear" w:color="auto" w:fill="FAFBFC"/>
            <w:tcBorders>
              <w:top w:val="single" w:sz="4" w:space="0" w:color="DDDDDD"/>
              <w:left w:val="single" w:sz="4" w:space="0" w:color="DDDDDD"/>
              <w:bottom w:val="single" w:sz="4" w:space="0" w:color="DDDDDD"/>
              <w:right w:val="single" w:sz="4" w:space="0" w:color="DDDDDD"/>
            </w:tcBorders>
          </w:tcPr>
          <w:p>
            <w:r>
              <w:rPr>
                <w:rFonts w:ascii="Calibri" w:hAnsi="Calibri"/>
                <w:b w:val="0"/>
                <w:i w:val="0"/>
                <w:color w:val="4A5A6A"/>
                <w:sz w:val="22"/>
              </w:rPr>
              <w:t>DG_v2 scoping document — outline what governance beyond SQL Server looks like for this organisation.</w:t>
            </w:r>
          </w:p>
        </w:tc>
      </w:tr>
    </w:tbl>
    <w:p/>
    <w:p/>
    <w:p>
      <w:pPr>
        <w:spacing w:before="40" w:after="160"/>
        <w:pBdr>
          <w:bottom w:val="single" w:sz="6" w:space="1" w:color="1A7A8A"/>
        </w:pBdr>
      </w:pPr>
    </w:p>
    <w:p>
      <w:r>
        <w:rPr>
          <w:rFonts w:ascii="Calibri" w:hAnsi="Calibri"/>
          <w:b/>
          <w:i w:val="0"/>
          <w:color w:val="142345"/>
          <w:sz w:val="24"/>
        </w:rPr>
        <w:t>The work exists. The track record exists. The next 24 months are about making it visible, formalising the credential, and owning the governance narrative with the authority it has already earned.</w:t>
      </w:r>
    </w:p>
    <w:p/>
    <w:p>
      <w:r>
        <w:rPr>
          <w:rFonts w:ascii="Calibri" w:hAnsi="Calibri"/>
          <w:b w:val="0"/>
          <w:i/>
          <w:color w:val="4A5A6A"/>
          <w:sz w:val="18"/>
        </w:rPr>
        <w:t>Helm  |  Career Development Plan  |  March 2026  |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