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B0A2E"/>
          <w:sz w:val="44"/>
          <w:szCs w:val="44"/>
        </w:rPr>
        <w:t xml:space="preserve">FINORA — TEAM BUILD PLAN</w:t>
      </w:r>
    </w:p>
    <w:p>
      <w:pPr>
        <w:spacing w:after="60"/>
      </w:pPr>
      <w:r>
        <w:rPr>
          <w:sz w:val="28"/>
          <w:szCs w:val="28"/>
        </w:rPr>
        <w:t xml:space="preserve">2-Developer Independent Track Split</w:t>
      </w:r>
    </w:p>
    <w:p>
      <w:pPr>
        <w:spacing w:after="300"/>
      </w:pPr>
      <w:r>
        <w:rPr>
          <w:i/>
          <w:iCs/>
          <w:sz w:val="20"/>
          <w:szCs w:val="20"/>
        </w:rPr>
        <w:t xml:space="preserve">Companion to the Finora Master Reference Document — use that doc for module UX/data-model detail, use this doc for who builds what, in what order, and how the two tracks reconnect.</w:t>
      </w:r>
    </w:p>
    <w:p>
      <w:pPr>
        <w:pStyle w:val="Heading1"/>
        <w:spacing w:after="150" w:before="300"/>
      </w:pPr>
      <w:r>
        <w:rPr>
          <w:b/>
          <w:bCs/>
          <w:color w:val="8B0A2E"/>
        </w:rPr>
        <w:t xml:space="preserve">0. Purpose &amp; How to Use This Doc</w:t>
      </w:r>
    </w:p>
    <w:p>
      <w:pPr>
        <w:spacing w:after="120"/>
      </w:pPr>
      <w:r>
        <w:rPr>
          <w:b w:val="false"/>
          <w:bCs w:val="false"/>
          <w:i w:val="false"/>
          <w:iCs w:val="false"/>
        </w:rPr>
        <w:t xml:space="preserve">Finora has 8 modules total. This plan splits them across two developers into two tracks that are almost entirely self-contained, so neither person blocks on the other during the build. The few points where the tracks must touch are called out explicitly as API contracts, agreed up front and mocked until integration.</w:t>
      </w:r>
    </w:p>
    <w:p>
      <w:pPr>
        <w:pStyle w:val="ListParagraph"/>
        <w:numPr>
          <w:ilvl w:val="0"/>
          <w:numId w:val="2"/>
        </w:numPr>
        <w:spacing w:after="80"/>
      </w:pPr>
      <w:r>
        <w:rPr>
          <w:b/>
          <w:bCs/>
        </w:rPr>
        <w:t xml:space="preserve">Phase 0</w:t>
      </w:r>
      <w:r>
        <w:t xml:space="preserve"> — shared foundation, built together, before splitting.</w:t>
      </w:r>
    </w:p>
    <w:p>
      <w:pPr>
        <w:pStyle w:val="ListParagraph"/>
        <w:numPr>
          <w:ilvl w:val="0"/>
          <w:numId w:val="2"/>
        </w:numPr>
        <w:spacing w:after="80"/>
      </w:pPr>
      <w:r>
        <w:rPr>
          <w:b/>
          <w:bCs/>
        </w:rPr>
        <w:t xml:space="preserve">Phase 1</w:t>
      </w:r>
      <w:r>
        <w:t xml:space="preserve"> — the two tracks build in parallel, each against a mocked version of the other track's contract.</w:t>
      </w:r>
    </w:p>
    <w:p>
      <w:pPr>
        <w:pStyle w:val="ListParagraph"/>
        <w:numPr>
          <w:ilvl w:val="0"/>
          <w:numId w:val="2"/>
        </w:numPr>
        <w:spacing w:after="80"/>
      </w:pPr>
      <w:r>
        <w:rPr>
          <w:b/>
          <w:bCs/>
        </w:rPr>
        <w:t xml:space="preserve">Phase 2</w:t>
      </w:r>
      <w:r>
        <w:t xml:space="preserve"> — integration: swap mocks for real calls, build the one screen that needs both tracks.</w:t>
      </w:r>
    </w:p>
    <w:p>
      <w:pPr>
        <w:spacing w:after="120"/>
      </w:pPr>
      <w:r>
        <w:rPr>
          <w:b w:val="false"/>
          <w:bCs w:val="false"/>
          <w:i w:val="false"/>
          <w:iCs w:val="false"/>
        </w:rPr>
        <w:t xml:space="preserve">Detailed AI-IDE build prompts (Step 0 written plan + phased execution, per your usual workflow) will be produced per module next, once this plan is confirmed. This doc is the map; the prompts are the turn-by-turn directions.</w:t>
      </w:r>
    </w:p>
    <w:p>
      <w:pPr>
        <w:pStyle w:val="Heading1"/>
        <w:spacing w:after="150" w:before="300"/>
      </w:pPr>
      <w:r>
        <w:rPr>
          <w:b/>
          <w:bCs/>
          <w:color w:val="8B0A2E"/>
        </w:rPr>
        <w:t xml:space="preserve">1. Module Inventory &amp; Dependency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100"/>
      </w:tblGrid>
      <w:tr>
        <w:tc>
          <w:tcPr>
            <w:tcW w:type="dxa" w:w="2400"/>
            <w:shd w:fill="8B0A2E" w:val="clear"/>
            <w:tcMar>
              <w:top w:type="dxa" w:w="80"/>
              <w:left w:type="dxa" w:w="100"/>
              <w:bottom w:type="dxa" w:w="80"/>
              <w:right w:type="dxa" w:w="100"/>
            </w:tcMar>
          </w:tcPr>
          <w:p>
            <w:r>
              <w:rPr>
                <w:b/>
                <w:bCs/>
                <w:color w:val="FFFFFF"/>
                <w:sz w:val="19"/>
                <w:szCs w:val="19"/>
              </w:rPr>
              <w:t xml:space="preserve">Module</w:t>
            </w:r>
          </w:p>
        </w:tc>
        <w:tc>
          <w:tcPr>
            <w:tcW w:type="dxa" w:w="3900"/>
            <w:shd w:fill="8B0A2E" w:val="clear"/>
            <w:tcMar>
              <w:top w:type="dxa" w:w="80"/>
              <w:left w:type="dxa" w:w="100"/>
              <w:bottom w:type="dxa" w:w="80"/>
              <w:right w:type="dxa" w:w="100"/>
            </w:tcMar>
          </w:tcPr>
          <w:p>
            <w:r>
              <w:rPr>
                <w:b/>
                <w:bCs/>
                <w:color w:val="FFFFFF"/>
                <w:sz w:val="19"/>
                <w:szCs w:val="19"/>
              </w:rPr>
              <w:t xml:space="preserve">Depends On</w:t>
            </w:r>
          </w:p>
        </w:tc>
        <w:tc>
          <w:tcPr>
            <w:tcW w:type="dxa" w:w="3100"/>
            <w:shd w:fill="8B0A2E" w:val="clear"/>
            <w:tcMar>
              <w:top w:type="dxa" w:w="80"/>
              <w:left w:type="dxa" w:w="100"/>
              <w:bottom w:type="dxa" w:w="80"/>
              <w:right w:type="dxa" w:w="100"/>
            </w:tcMar>
          </w:tcPr>
          <w:p>
            <w:r>
              <w:rPr>
                <w:b/>
                <w:bCs/>
                <w:color w:val="FFFFFF"/>
                <w:sz w:val="19"/>
                <w:szCs w:val="19"/>
              </w:rPr>
              <w:t xml:space="preserve">Depended On By</w:t>
            </w:r>
          </w:p>
        </w:tc>
      </w:tr>
      <w:tr>
        <w:tc>
          <w:tcPr>
            <w:tcW w:type="dxa" w:w="2400"/>
            <w:tcMar>
              <w:top w:type="dxa" w:w="80"/>
              <w:left w:type="dxa" w:w="100"/>
              <w:bottom w:type="dxa" w:w="80"/>
              <w:right w:type="dxa" w:w="100"/>
            </w:tcMar>
          </w:tcPr>
          <w:p>
            <w:r>
              <w:rPr>
                <w:b w:val="false"/>
                <w:bCs w:val="false"/>
                <w:sz w:val="19"/>
                <w:szCs w:val="19"/>
              </w:rPr>
              <w:t xml:space="preserve">Portfolio Tracker</w:t>
            </w:r>
          </w:p>
        </w:tc>
        <w:tc>
          <w:tcPr>
            <w:tcW w:type="dxa" w:w="3900"/>
            <w:tcMar>
              <w:top w:type="dxa" w:w="80"/>
              <w:left w:type="dxa" w:w="100"/>
              <w:bottom w:type="dxa" w:w="80"/>
              <w:right w:type="dxa" w:w="100"/>
            </w:tcMar>
          </w:tcPr>
          <w:p>
            <w:r>
              <w:rPr>
                <w:b w:val="false"/>
                <w:bCs w:val="false"/>
                <w:sz w:val="19"/>
                <w:szCs w:val="19"/>
              </w:rPr>
              <w:t xml:space="preserve">— (standalone data entry + live pricing)</w:t>
            </w:r>
          </w:p>
        </w:tc>
        <w:tc>
          <w:tcPr>
            <w:tcW w:type="dxa" w:w="3100"/>
            <w:tcMar>
              <w:top w:type="dxa" w:w="80"/>
              <w:left w:type="dxa" w:w="100"/>
              <w:bottom w:type="dxa" w:w="80"/>
              <w:right w:type="dxa" w:w="100"/>
            </w:tcMar>
          </w:tcPr>
          <w:p>
            <w:r>
              <w:rPr>
                <w:b w:val="false"/>
                <w:bCs w:val="false"/>
                <w:sz w:val="19"/>
                <w:szCs w:val="19"/>
              </w:rPr>
              <w:t xml:space="preserve">Net Worth Tracker, Goal Manager, FIRE Planner</w:t>
            </w:r>
          </w:p>
        </w:tc>
      </w:tr>
      <w:tr>
        <w:tc>
          <w:tcPr>
            <w:tcW w:type="dxa" w:w="2400"/>
            <w:tcMar>
              <w:top w:type="dxa" w:w="80"/>
              <w:left w:type="dxa" w:w="100"/>
              <w:bottom w:type="dxa" w:w="80"/>
              <w:right w:type="dxa" w:w="100"/>
            </w:tcMar>
          </w:tcPr>
          <w:p>
            <w:r>
              <w:rPr>
                <w:b w:val="false"/>
                <w:bCs w:val="false"/>
                <w:sz w:val="19"/>
                <w:szCs w:val="19"/>
              </w:rPr>
              <w:t xml:space="preserve">Net Worth Tracker</w:t>
            </w:r>
          </w:p>
        </w:tc>
        <w:tc>
          <w:tcPr>
            <w:tcW w:type="dxa" w:w="3900"/>
            <w:tcMar>
              <w:top w:type="dxa" w:w="80"/>
              <w:left w:type="dxa" w:w="100"/>
              <w:bottom w:type="dxa" w:w="80"/>
              <w:right w:type="dxa" w:w="100"/>
            </w:tcMar>
          </w:tcPr>
          <w:p>
            <w:r>
              <w:rPr>
                <w:b w:val="false"/>
                <w:bCs w:val="false"/>
                <w:sz w:val="19"/>
                <w:szCs w:val="19"/>
              </w:rPr>
              <w:t xml:space="preserve">Portfolio Tracker (linked assets)</w:t>
            </w:r>
          </w:p>
        </w:tc>
        <w:tc>
          <w:tcPr>
            <w:tcW w:type="dxa" w:w="3100"/>
            <w:tcMar>
              <w:top w:type="dxa" w:w="80"/>
              <w:left w:type="dxa" w:w="100"/>
              <w:bottom w:type="dxa" w:w="80"/>
              <w:right w:type="dxa" w:w="100"/>
            </w:tcMar>
          </w:tcPr>
          <w:p>
            <w:r>
              <w:rPr>
                <w:b w:val="false"/>
                <w:bCs w:val="false"/>
                <w:sz w:val="19"/>
                <w:szCs w:val="19"/>
              </w:rPr>
              <w:t xml:space="preserve">Goal Manager, FIRE Planner, EMI Manager (liabilities)</w:t>
            </w:r>
          </w:p>
        </w:tc>
      </w:tr>
      <w:tr>
        <w:tc>
          <w:tcPr>
            <w:tcW w:type="dxa" w:w="2400"/>
            <w:tcMar>
              <w:top w:type="dxa" w:w="80"/>
              <w:left w:type="dxa" w:w="100"/>
              <w:bottom w:type="dxa" w:w="80"/>
              <w:right w:type="dxa" w:w="100"/>
            </w:tcMar>
          </w:tcPr>
          <w:p>
            <w:r>
              <w:rPr>
                <w:b w:val="false"/>
                <w:bCs w:val="false"/>
                <w:sz w:val="19"/>
                <w:szCs w:val="19"/>
              </w:rPr>
              <w:t xml:space="preserve">Goal Manager</w:t>
            </w:r>
          </w:p>
        </w:tc>
        <w:tc>
          <w:tcPr>
            <w:tcW w:type="dxa" w:w="3900"/>
            <w:tcMar>
              <w:top w:type="dxa" w:w="80"/>
              <w:left w:type="dxa" w:w="100"/>
              <w:bottom w:type="dxa" w:w="80"/>
              <w:right w:type="dxa" w:w="100"/>
            </w:tcMar>
          </w:tcPr>
          <w:p>
            <w:r>
              <w:rPr>
                <w:b w:val="false"/>
                <w:bCs w:val="false"/>
                <w:sz w:val="19"/>
                <w:szCs w:val="19"/>
              </w:rPr>
              <w:t xml:space="preserve">Net Worth Tracker, Portfolio Tracker, Expense Tracker (goal-linked txns)</w:t>
            </w:r>
          </w:p>
        </w:tc>
        <w:tc>
          <w:tcPr>
            <w:tcW w:type="dxa" w:w="3100"/>
            <w:tcMar>
              <w:top w:type="dxa" w:w="80"/>
              <w:left w:type="dxa" w:w="100"/>
              <w:bottom w:type="dxa" w:w="80"/>
              <w:right w:type="dxa" w:w="100"/>
            </w:tcMar>
          </w:tcPr>
          <w:p>
            <w:r>
              <w:rPr>
                <w:b w:val="false"/>
                <w:bCs w:val="false"/>
                <w:sz w:val="19"/>
                <w:szCs w:val="19"/>
              </w:rPr>
              <w:t xml:space="preserve">Suite Insights</w:t>
            </w:r>
          </w:p>
        </w:tc>
      </w:tr>
      <w:tr>
        <w:tc>
          <w:tcPr>
            <w:tcW w:type="dxa" w:w="2400"/>
            <w:tcMar>
              <w:top w:type="dxa" w:w="80"/>
              <w:left w:type="dxa" w:w="100"/>
              <w:bottom w:type="dxa" w:w="80"/>
              <w:right w:type="dxa" w:w="100"/>
            </w:tcMar>
          </w:tcPr>
          <w:p>
            <w:r>
              <w:rPr>
                <w:b w:val="false"/>
                <w:bCs w:val="false"/>
                <w:sz w:val="19"/>
                <w:szCs w:val="19"/>
              </w:rPr>
              <w:t xml:space="preserve">FIRE Planner</w:t>
            </w:r>
          </w:p>
        </w:tc>
        <w:tc>
          <w:tcPr>
            <w:tcW w:type="dxa" w:w="3900"/>
            <w:tcMar>
              <w:top w:type="dxa" w:w="80"/>
              <w:left w:type="dxa" w:w="100"/>
              <w:bottom w:type="dxa" w:w="80"/>
              <w:right w:type="dxa" w:w="100"/>
            </w:tcMar>
          </w:tcPr>
          <w:p>
            <w:r>
              <w:rPr>
                <w:b w:val="false"/>
                <w:bCs w:val="false"/>
                <w:sz w:val="19"/>
                <w:szCs w:val="19"/>
              </w:rPr>
              <w:t xml:space="preserve">Net Worth Tracker, Portfolio Tracker, Expense Tracker (annual spend)</w:t>
            </w:r>
          </w:p>
        </w:tc>
        <w:tc>
          <w:tcPr>
            <w:tcW w:type="dxa" w:w="3100"/>
            <w:tcMar>
              <w:top w:type="dxa" w:w="80"/>
              <w:left w:type="dxa" w:w="100"/>
              <w:bottom w:type="dxa" w:w="80"/>
              <w:right w:type="dxa" w:w="100"/>
            </w:tcMar>
          </w:tcPr>
          <w:p>
            <w:r>
              <w:rPr>
                <w:b w:val="false"/>
                <w:bCs w:val="false"/>
                <w:sz w:val="19"/>
                <w:szCs w:val="19"/>
              </w:rPr>
              <w:t xml:space="preserve">Suite Insights</w:t>
            </w:r>
          </w:p>
        </w:tc>
      </w:tr>
      <w:tr>
        <w:tc>
          <w:tcPr>
            <w:tcW w:type="dxa" w:w="2400"/>
            <w:tcMar>
              <w:top w:type="dxa" w:w="80"/>
              <w:left w:type="dxa" w:w="100"/>
              <w:bottom w:type="dxa" w:w="80"/>
              <w:right w:type="dxa" w:w="100"/>
            </w:tcMar>
          </w:tcPr>
          <w:p>
            <w:r>
              <w:rPr>
                <w:b w:val="false"/>
                <w:bCs w:val="false"/>
                <w:sz w:val="19"/>
                <w:szCs w:val="19"/>
              </w:rPr>
              <w:t xml:space="preserve">Expense Tracker</w:t>
            </w:r>
          </w:p>
        </w:tc>
        <w:tc>
          <w:tcPr>
            <w:tcW w:type="dxa" w:w="3900"/>
            <w:tcMar>
              <w:top w:type="dxa" w:w="80"/>
              <w:left w:type="dxa" w:w="100"/>
              <w:bottom w:type="dxa" w:w="80"/>
              <w:right w:type="dxa" w:w="100"/>
            </w:tcMar>
          </w:tcPr>
          <w:p>
            <w:r>
              <w:rPr>
                <w:b w:val="false"/>
                <w:bCs w:val="false"/>
                <w:sz w:val="19"/>
                <w:szCs w:val="19"/>
              </w:rPr>
              <w:t xml:space="preserve">— (standalone ledger)</w:t>
            </w:r>
          </w:p>
        </w:tc>
        <w:tc>
          <w:tcPr>
            <w:tcW w:type="dxa" w:w="3100"/>
            <w:tcMar>
              <w:top w:type="dxa" w:w="80"/>
              <w:left w:type="dxa" w:w="100"/>
              <w:bottom w:type="dxa" w:w="80"/>
              <w:right w:type="dxa" w:w="100"/>
            </w:tcMar>
          </w:tcPr>
          <w:p>
            <w:r>
              <w:rPr>
                <w:b w:val="false"/>
                <w:bCs w:val="false"/>
                <w:sz w:val="19"/>
                <w:szCs w:val="19"/>
              </w:rPr>
              <w:t xml:space="preserve">Goal Manager, FIRE Planner, EMI Manager, Suite Insights</w:t>
            </w:r>
          </w:p>
        </w:tc>
      </w:tr>
      <w:tr>
        <w:tc>
          <w:tcPr>
            <w:tcW w:type="dxa" w:w="2400"/>
            <w:tcMar>
              <w:top w:type="dxa" w:w="80"/>
              <w:left w:type="dxa" w:w="100"/>
              <w:bottom w:type="dxa" w:w="80"/>
              <w:right w:type="dxa" w:w="100"/>
            </w:tcMar>
          </w:tcPr>
          <w:p>
            <w:r>
              <w:rPr>
                <w:b w:val="false"/>
                <w:bCs w:val="false"/>
                <w:sz w:val="19"/>
                <w:szCs w:val="19"/>
              </w:rPr>
              <w:t xml:space="preserve">Trip Manager</w:t>
            </w:r>
          </w:p>
        </w:tc>
        <w:tc>
          <w:tcPr>
            <w:tcW w:type="dxa" w:w="3900"/>
            <w:tcMar>
              <w:top w:type="dxa" w:w="80"/>
              <w:left w:type="dxa" w:w="100"/>
              <w:bottom w:type="dxa" w:w="80"/>
              <w:right w:type="dxa" w:w="100"/>
            </w:tcMar>
          </w:tcPr>
          <w:p>
            <w:r>
              <w:rPr>
                <w:b w:val="false"/>
                <w:bCs w:val="false"/>
                <w:sz w:val="19"/>
                <w:szCs w:val="19"/>
              </w:rPr>
              <w:t xml:space="preserve">— (fully standalone, own participants/expenses)</w:t>
            </w:r>
          </w:p>
        </w:tc>
        <w:tc>
          <w:tcPr>
            <w:tcW w:type="dxa" w:w="3100"/>
            <w:tcMar>
              <w:top w:type="dxa" w:w="80"/>
              <w:left w:type="dxa" w:w="100"/>
              <w:bottom w:type="dxa" w:w="80"/>
              <w:right w:type="dxa" w:w="100"/>
            </w:tcMar>
          </w:tcPr>
          <w:p>
            <w:r>
              <w:rPr>
                <w:b w:val="false"/>
                <w:bCs w:val="false"/>
                <w:sz w:val="19"/>
                <w:szCs w:val="19"/>
              </w:rPr>
              <w:t xml:space="preserve">Suite Insights (trip spend metric only)</w:t>
            </w:r>
          </w:p>
        </w:tc>
      </w:tr>
      <w:tr>
        <w:tc>
          <w:tcPr>
            <w:tcW w:type="dxa" w:w="2400"/>
            <w:tcMar>
              <w:top w:type="dxa" w:w="80"/>
              <w:left w:type="dxa" w:w="100"/>
              <w:bottom w:type="dxa" w:w="80"/>
              <w:right w:type="dxa" w:w="100"/>
            </w:tcMar>
          </w:tcPr>
          <w:p>
            <w:r>
              <w:rPr>
                <w:b w:val="false"/>
                <w:bCs w:val="false"/>
                <w:sz w:val="19"/>
                <w:szCs w:val="19"/>
              </w:rPr>
              <w:t xml:space="preserve">Vault</w:t>
            </w:r>
          </w:p>
        </w:tc>
        <w:tc>
          <w:tcPr>
            <w:tcW w:type="dxa" w:w="3900"/>
            <w:tcMar>
              <w:top w:type="dxa" w:w="80"/>
              <w:left w:type="dxa" w:w="100"/>
              <w:bottom w:type="dxa" w:w="80"/>
              <w:right w:type="dxa" w:w="100"/>
            </w:tcMar>
          </w:tcPr>
          <w:p>
            <w:r>
              <w:rPr>
                <w:b w:val="false"/>
                <w:bCs w:val="false"/>
                <w:sz w:val="19"/>
                <w:szCs w:val="19"/>
              </w:rPr>
              <w:t xml:space="preserve">— (fully standalone, zero-knowledge)</w:t>
            </w:r>
          </w:p>
        </w:tc>
        <w:tc>
          <w:tcPr>
            <w:tcW w:type="dxa" w:w="3100"/>
            <w:tcMar>
              <w:top w:type="dxa" w:w="80"/>
              <w:left w:type="dxa" w:w="100"/>
              <w:bottom w:type="dxa" w:w="80"/>
              <w:right w:type="dxa" w:w="100"/>
            </w:tcMar>
          </w:tcPr>
          <w:p>
            <w:r>
              <w:rPr>
                <w:b w:val="false"/>
                <w:bCs w:val="false"/>
                <w:sz w:val="19"/>
                <w:szCs w:val="19"/>
              </w:rPr>
              <w:t xml:space="preserve">nothing — no module reads from Vault</w:t>
            </w:r>
          </w:p>
        </w:tc>
      </w:tr>
      <w:tr>
        <w:tc>
          <w:tcPr>
            <w:tcW w:type="dxa" w:w="2400"/>
            <w:tcMar>
              <w:top w:type="dxa" w:w="80"/>
              <w:left w:type="dxa" w:w="100"/>
              <w:bottom w:type="dxa" w:w="80"/>
              <w:right w:type="dxa" w:w="100"/>
            </w:tcMar>
          </w:tcPr>
          <w:p>
            <w:r>
              <w:rPr>
                <w:b w:val="false"/>
                <w:bCs w:val="false"/>
                <w:sz w:val="19"/>
                <w:szCs w:val="19"/>
              </w:rPr>
              <w:t xml:space="preserve">EMI Manager</w:t>
            </w:r>
          </w:p>
        </w:tc>
        <w:tc>
          <w:tcPr>
            <w:tcW w:type="dxa" w:w="3900"/>
            <w:tcMar>
              <w:top w:type="dxa" w:w="80"/>
              <w:left w:type="dxa" w:w="100"/>
              <w:bottom w:type="dxa" w:w="80"/>
              <w:right w:type="dxa" w:w="100"/>
            </w:tcMar>
          </w:tcPr>
          <w:p>
            <w:r>
              <w:rPr>
                <w:b w:val="false"/>
                <w:bCs w:val="false"/>
                <w:sz w:val="19"/>
                <w:szCs w:val="19"/>
              </w:rPr>
              <w:t xml:space="preserve">Net Worth Tracker (liabilities), Expense Tracker (EMI cash outflow)</w:t>
            </w:r>
          </w:p>
        </w:tc>
        <w:tc>
          <w:tcPr>
            <w:tcW w:type="dxa" w:w="3100"/>
            <w:tcMar>
              <w:top w:type="dxa" w:w="80"/>
              <w:left w:type="dxa" w:w="100"/>
              <w:bottom w:type="dxa" w:w="80"/>
              <w:right w:type="dxa" w:w="100"/>
            </w:tcMar>
          </w:tcPr>
          <w:p>
            <w:r>
              <w:rPr>
                <w:b w:val="false"/>
                <w:bCs w:val="false"/>
                <w:sz w:val="19"/>
                <w:szCs w:val="19"/>
              </w:rPr>
              <w:t xml:space="preserve">Net Worth Tracker (EMI as a liability line)</w:t>
            </w:r>
          </w:p>
        </w:tc>
      </w:tr>
    </w:tbl>
    <w:p>
      <w:pPr>
        <w:pStyle w:val="Heading1"/>
        <w:spacing w:after="150" w:before="300"/>
      </w:pPr>
      <w:r>
        <w:rPr>
          <w:b/>
          <w:bCs/>
          <w:color w:val="8B0A2E"/>
        </w:rPr>
        <w:t xml:space="preserve">2. Track Ownership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900"/>
      </w:tblGrid>
      <w:tr>
        <w:tc>
          <w:tcPr>
            <w:tcW w:type="dxa" w:w="1600"/>
            <w:shd w:fill="8B0A2E" w:val="clear"/>
            <w:tcMar>
              <w:top w:type="dxa" w:w="80"/>
              <w:left w:type="dxa" w:w="100"/>
              <w:bottom w:type="dxa" w:w="80"/>
              <w:right w:type="dxa" w:w="100"/>
            </w:tcMar>
          </w:tcPr>
          <w:p>
            <w:r>
              <w:rPr>
                <w:b/>
                <w:bCs/>
                <w:color w:val="FFFFFF"/>
                <w:sz w:val="19"/>
                <w:szCs w:val="19"/>
              </w:rPr>
              <w:t xml:space="preserve"/>
            </w:r>
          </w:p>
        </w:tc>
        <w:tc>
          <w:tcPr>
            <w:tcW w:type="dxa" w:w="3900"/>
            <w:shd w:fill="8B0A2E" w:val="clear"/>
            <w:tcMar>
              <w:top w:type="dxa" w:w="80"/>
              <w:left w:type="dxa" w:w="100"/>
              <w:bottom w:type="dxa" w:w="80"/>
              <w:right w:type="dxa" w:w="100"/>
            </w:tcMar>
          </w:tcPr>
          <w:p>
            <w:r>
              <w:rPr>
                <w:b/>
                <w:bCs/>
                <w:color w:val="FFFFFF"/>
                <w:sz w:val="19"/>
                <w:szCs w:val="19"/>
              </w:rPr>
              <w:t xml:space="preserve">Track A — Wealth &amp; Growth</w:t>
            </w:r>
          </w:p>
        </w:tc>
        <w:tc>
          <w:tcPr>
            <w:tcW w:type="dxa" w:w="3900"/>
            <w:shd w:fill="8B0A2E" w:val="clear"/>
            <w:tcMar>
              <w:top w:type="dxa" w:w="80"/>
              <w:left w:type="dxa" w:w="100"/>
              <w:bottom w:type="dxa" w:w="80"/>
              <w:right w:type="dxa" w:w="100"/>
            </w:tcMar>
          </w:tcPr>
          <w:p>
            <w:r>
              <w:rPr>
                <w:b/>
                <w:bCs/>
                <w:color w:val="FFFFFF"/>
                <w:sz w:val="19"/>
                <w:szCs w:val="19"/>
              </w:rPr>
              <w:t xml:space="preserve">Track B — Cash Flow &amp; Life Admin</w:t>
            </w:r>
          </w:p>
        </w:tc>
      </w:tr>
      <w:tr>
        <w:tc>
          <w:tcPr>
            <w:tcW w:type="dxa" w:w="1600"/>
            <w:tcMar>
              <w:top w:type="dxa" w:w="80"/>
              <w:left w:type="dxa" w:w="100"/>
              <w:bottom w:type="dxa" w:w="80"/>
              <w:right w:type="dxa" w:w="100"/>
            </w:tcMar>
          </w:tcPr>
          <w:p>
            <w:r>
              <w:rPr>
                <w:b w:val="false"/>
                <w:bCs w:val="false"/>
                <w:sz w:val="19"/>
                <w:szCs w:val="19"/>
              </w:rPr>
              <w:t xml:space="preserve">Modules</w:t>
            </w:r>
          </w:p>
        </w:tc>
        <w:tc>
          <w:tcPr>
            <w:tcW w:type="dxa" w:w="3900"/>
            <w:tcMar>
              <w:top w:type="dxa" w:w="80"/>
              <w:left w:type="dxa" w:w="100"/>
              <w:bottom w:type="dxa" w:w="80"/>
              <w:right w:type="dxa" w:w="100"/>
            </w:tcMar>
          </w:tcPr>
          <w:p>
            <w:r>
              <w:rPr>
                <w:b w:val="false"/>
                <w:bCs w:val="false"/>
                <w:sz w:val="19"/>
                <w:szCs w:val="19"/>
              </w:rPr>
              <w:t xml:space="preserve">Portfolio Tracker → Net Worth Tracker → Goal Manager → FIRE Planner</w:t>
            </w:r>
          </w:p>
        </w:tc>
        <w:tc>
          <w:tcPr>
            <w:tcW w:type="dxa" w:w="3900"/>
            <w:tcMar>
              <w:top w:type="dxa" w:w="80"/>
              <w:left w:type="dxa" w:w="100"/>
              <w:bottom w:type="dxa" w:w="80"/>
              <w:right w:type="dxa" w:w="100"/>
            </w:tcMar>
          </w:tcPr>
          <w:p>
            <w:r>
              <w:rPr>
                <w:b w:val="false"/>
                <w:bCs w:val="false"/>
                <w:sz w:val="19"/>
                <w:szCs w:val="19"/>
              </w:rPr>
              <w:t xml:space="preserve">Expense Tracker → Trip Manager, Vault, EMI Manager</w:t>
            </w:r>
          </w:p>
        </w:tc>
      </w:tr>
      <w:tr>
        <w:tc>
          <w:tcPr>
            <w:tcW w:type="dxa" w:w="1600"/>
            <w:tcMar>
              <w:top w:type="dxa" w:w="80"/>
              <w:left w:type="dxa" w:w="100"/>
              <w:bottom w:type="dxa" w:w="80"/>
              <w:right w:type="dxa" w:w="100"/>
            </w:tcMar>
          </w:tcPr>
          <w:p>
            <w:r>
              <w:rPr>
                <w:b w:val="false"/>
                <w:bCs w:val="false"/>
                <w:sz w:val="19"/>
                <w:szCs w:val="19"/>
              </w:rPr>
              <w:t xml:space="preserve">Internal shape</w:t>
            </w:r>
          </w:p>
        </w:tc>
        <w:tc>
          <w:tcPr>
            <w:tcW w:type="dxa" w:w="3900"/>
            <w:tcMar>
              <w:top w:type="dxa" w:w="80"/>
              <w:left w:type="dxa" w:w="100"/>
              <w:bottom w:type="dxa" w:w="80"/>
              <w:right w:type="dxa" w:w="100"/>
            </w:tcMar>
          </w:tcPr>
          <w:p>
            <w:r>
              <w:rPr>
                <w:b w:val="false"/>
                <w:bCs w:val="false"/>
                <w:sz w:val="19"/>
                <w:szCs w:val="19"/>
              </w:rPr>
              <w:t xml:space="preserve">Strictly sequential — each module is built on the previous one's data, same developer carries context forward with no handoff.</w:t>
            </w:r>
          </w:p>
        </w:tc>
        <w:tc>
          <w:tcPr>
            <w:tcW w:type="dxa" w:w="3900"/>
            <w:tcMar>
              <w:top w:type="dxa" w:w="80"/>
              <w:left w:type="dxa" w:w="100"/>
              <w:bottom w:type="dxa" w:w="80"/>
              <w:right w:type="dxa" w:w="100"/>
            </w:tcMar>
          </w:tcPr>
          <w:p>
            <w:r>
              <w:rPr>
                <w:b w:val="false"/>
                <w:bCs w:val="false"/>
                <w:sz w:val="19"/>
                <w:szCs w:val="19"/>
              </w:rPr>
              <w:t xml:space="preserve">Expense Tracker first (it's the cash-flow backbone), then the other three build in any order — Trip Manager and Vault touch nothing else in the suite.</w:t>
            </w:r>
          </w:p>
        </w:tc>
      </w:tr>
      <w:tr>
        <w:tc>
          <w:tcPr>
            <w:tcW w:type="dxa" w:w="1600"/>
            <w:tcMar>
              <w:top w:type="dxa" w:w="80"/>
              <w:left w:type="dxa" w:w="100"/>
              <w:bottom w:type="dxa" w:w="80"/>
              <w:right w:type="dxa" w:w="100"/>
            </w:tcMar>
          </w:tcPr>
          <w:p>
            <w:r>
              <w:rPr>
                <w:b w:val="false"/>
                <w:bCs w:val="false"/>
                <w:sz w:val="19"/>
                <w:szCs w:val="19"/>
              </w:rPr>
              <w:t xml:space="preserve">Owns the shared growth engine?</w:t>
            </w:r>
          </w:p>
        </w:tc>
        <w:tc>
          <w:tcPr>
            <w:tcW w:type="dxa" w:w="3900"/>
            <w:tcMar>
              <w:top w:type="dxa" w:w="80"/>
              <w:left w:type="dxa" w:w="100"/>
              <w:bottom w:type="dxa" w:w="80"/>
              <w:right w:type="dxa" w:w="100"/>
            </w:tcMar>
          </w:tcPr>
          <w:p>
            <w:r>
              <w:rPr>
                <w:b w:val="false"/>
                <w:bCs w:val="false"/>
                <w:sz w:val="19"/>
                <w:szCs w:val="19"/>
              </w:rPr>
              <w:t xml:space="preserve">Yes — compound-growth + FV-of-annuity engine (used by Net Worth projection, Portfolio Growth Outlook, FIRE math) is built once here and consumed as a library.</w:t>
            </w:r>
          </w:p>
        </w:tc>
        <w:tc>
          <w:tcPr>
            <w:tcW w:type="dxa" w:w="3900"/>
            <w:tcMar>
              <w:top w:type="dxa" w:w="80"/>
              <w:left w:type="dxa" w:w="100"/>
              <w:bottom w:type="dxa" w:w="80"/>
              <w:right w:type="dxa" w:w="100"/>
            </w:tcMar>
          </w:tcPr>
          <w:p>
            <w:r>
              <w:rPr>
                <w:b w:val="false"/>
                <w:bCs w:val="false"/>
                <w:sz w:val="19"/>
                <w:szCs w:val="19"/>
              </w:rPr>
              <w:t xml:space="preserve">No — consumes it only if EMI Manager needs amortization math, which is a separate schedule calculation, not the growth engine.</w:t>
            </w:r>
          </w:p>
        </w:tc>
      </w:tr>
    </w:tbl>
    <w:p>
      <w:pPr>
        <w:spacing w:after="120"/>
      </w:pPr>
      <w:r>
        <w:rPr>
          <w:b w:val="false"/>
          <w:bCs w:val="false"/>
          <w:i/>
          <w:iCs/>
        </w:rPr>
        <w:t xml:space="preserve">Reasoning: this is not an even 4-and-4 split by feature count — it's a split by data-dependency direction. Track A modules all read from each other in one direction (Portfolio → Net Worth → Goal/FIRE); Track B modules barely touch each other at all. Splitting any other way (e.g. by UI similarity) would create constant cross-track blocking.</w:t>
      </w:r>
    </w:p>
    <w:p>
      <w:pPr>
        <w:pStyle w:val="Heading1"/>
        <w:spacing w:after="150" w:before="300"/>
      </w:pPr>
      <w:r>
        <w:rPr>
          <w:b/>
          <w:bCs/>
          <w:color w:val="8B0A2E"/>
        </w:rPr>
        <w:t xml:space="preserve">3. Phase 0 — Shared Foundation (Both Developers, Before Splitting)</w:t>
      </w:r>
    </w:p>
    <w:p>
      <w:pPr>
        <w:spacing w:after="120"/>
      </w:pPr>
      <w:r>
        <w:rPr>
          <w:b w:val="false"/>
          <w:bCs w:val="false"/>
          <w:i w:val="false"/>
          <w:iCs w:val="false"/>
        </w:rPr>
        <w:t xml:space="preserve">Everything here is load-bearing for both tracks. Do not start Phase 1 until this is agreed and scaffolded, even if not fully implemented.</w:t>
      </w:r>
    </w:p>
    <w:p>
      <w:pPr>
        <w:pStyle w:val="Heading2"/>
        <w:spacing w:after="100" w:before="200"/>
      </w:pPr>
      <w:r>
        <w:rPr>
          <w:b/>
          <w:bCs/>
          <w:color w:val="8B0A2E"/>
        </w:rPr>
        <w:t xml:space="preserve">3.1 Core Infrastructure</w:t>
      </w:r>
    </w:p>
    <w:p>
      <w:pPr>
        <w:pStyle w:val="ListParagraph"/>
        <w:numPr>
          <w:ilvl w:val="0"/>
          <w:numId w:val="2"/>
        </w:numPr>
        <w:spacing w:after="80"/>
      </w:pPr>
      <w:r>
        <w:rPr>
          <w:b/>
          <w:bCs/>
        </w:rPr>
        <w:t xml:space="preserve">Auth/JWT</w:t>
      </w:r>
      <w:r>
        <w:t xml:space="preserve"> — issuance lives outside any single module; each module only validates a token (per the suite's module-agnostic auth decision).</w:t>
      </w:r>
    </w:p>
    <w:p>
      <w:pPr>
        <w:pStyle w:val="ListParagraph"/>
        <w:numPr>
          <w:ilvl w:val="0"/>
          <w:numId w:val="2"/>
        </w:numPr>
        <w:spacing w:after="80"/>
      </w:pPr>
      <w:r>
        <w:rPr>
          <w:b/>
          <w:bCs/>
        </w:rPr>
        <w:t xml:space="preserve">Profile / Workspace scaffolding</w:t>
      </w:r>
      <w:r>
        <w:t xml:space="preserve"> — one shared User/Profile table at the umbrella-app level; each module's tables reference user_id/profile_id.</w:t>
      </w:r>
    </w:p>
    <w:p>
      <w:pPr>
        <w:pStyle w:val="ListParagraph"/>
        <w:numPr>
          <w:ilvl w:val="0"/>
          <w:numId w:val="2"/>
        </w:numPr>
        <w:spacing w:after="80"/>
      </w:pPr>
      <w:r>
        <w:rPr>
          <w:b/>
          <w:bCs/>
        </w:rPr>
        <w:t xml:space="preserve">Currency service</w:t>
      </w:r>
      <w:r>
        <w:t xml:space="preserve"> — store amounts in a single baseCurrency per user (default INR); convert for display only.</w:t>
      </w:r>
    </w:p>
    <w:p>
      <w:pPr>
        <w:pStyle w:val="ListParagraph"/>
        <w:numPr>
          <w:ilvl w:val="0"/>
          <w:numId w:val="2"/>
        </w:numPr>
        <w:spacing w:after="80"/>
      </w:pPr>
      <w:r>
        <w:rPr>
          <w:b/>
          <w:bCs/>
        </w:rPr>
        <w:t xml:space="preserve">Package namespace convention</w:t>
      </w:r>
      <w:r>
        <w:t xml:space="preserve"> — com.finora.&lt;module&gt;.* by module, not by layer, so both developers' code never collides in the same package.</w:t>
      </w:r>
    </w:p>
    <w:p>
      <w:pPr>
        <w:pStyle w:val="Heading2"/>
        <w:spacing w:after="100" w:before="200"/>
      </w:pPr>
      <w:r>
        <w:rPr>
          <w:b/>
          <w:bCs/>
          <w:color w:val="8B0A2E"/>
        </w:rPr>
        <w:t xml:space="preserve">3.2 The Universal Linking Mechanism (single most important shared piece)</w:t>
      </w:r>
    </w:p>
    <w:p>
      <w:pPr>
        <w:pStyle w:val="ListParagraph"/>
        <w:numPr>
          <w:ilvl w:val="0"/>
          <w:numId w:val="2"/>
        </w:numPr>
        <w:spacing w:after="80"/>
      </w:pPr>
      <w:r>
        <w:rPr>
          <w:b/>
          <w:bCs/>
        </w:rPr>
        <w:t xml:space="preserve">isIncluded / isLinked / sourceModule</w:t>
      </w:r>
      <w:r>
        <w:t xml:space="preserve"> — build once as a shared backend concern (interface + base entity or trait), not per-module. This is what lets Portfolio holdings show up as read-only linked assets inside Net Worth Tracker, and what Goal Manager and FIRE Planner will use to pull from Net Worth/Portfolio.</w:t>
      </w:r>
    </w:p>
    <w:p>
      <w:pPr>
        <w:pStyle w:val="ListParagraph"/>
        <w:numPr>
          <w:ilvl w:val="0"/>
          <w:numId w:val="2"/>
        </w:numPr>
        <w:spacing w:after="80"/>
      </w:pPr>
      <w:r>
        <w:rPr>
          <w:b/>
          <w:bCs/>
        </w:rPr>
        <w:t xml:space="preserve">Delink semantics</w:t>
      </w:r>
      <w:r>
        <w:t xml:space="preserve"> — decide up front whether Delink converts a linked record to a standalone manual copy or removes it outright. Get this wrong here and both tracks inherit the mistake.</w:t>
      </w:r>
    </w:p>
    <w:p>
      <w:pPr>
        <w:pStyle w:val="Heading2"/>
        <w:spacing w:after="100" w:before="200"/>
      </w:pPr>
      <w:r>
        <w:rPr>
          <w:b/>
          <w:bCs/>
          <w:color w:val="8B0A2E"/>
        </w:rPr>
        <w:t xml:space="preserve">3.3 Shared Frontend Components</w:t>
      </w:r>
    </w:p>
    <w:p>
      <w:pPr>
        <w:pStyle w:val="ListParagraph"/>
        <w:numPr>
          <w:ilvl w:val="0"/>
          <w:numId w:val="2"/>
        </w:numPr>
        <w:spacing w:after="80"/>
      </w:pPr>
      <w:r>
        <w:t xml:space="preserve">Toast/notification component, Insights-card component (used by Expense Tracker, Net Worth Tracker, FIRE Planner, Goal Manager alike), empty-state component (icon + headline + subtext + single CTA), onboarding-drawer component (numbered How-to-use + Tips checklist) — all confirmed reusable across every module in the reference doc, build once in a shared component package.</w:t>
      </w:r>
    </w:p>
    <w:p>
      <w:pPr>
        <w:pStyle w:val="Heading2"/>
        <w:spacing w:after="100" w:before="200"/>
      </w:pPr>
      <w:r>
        <w:rPr>
          <w:b/>
          <w:bCs/>
          <w:color w:val="8B0A2E"/>
        </w:rPr>
        <w:t xml:space="preserve">3.4 Cross-Team API Contracts — Agree on These Before Writing Module Code</w:t>
      </w:r>
    </w:p>
    <w:p>
      <w:pPr>
        <w:spacing w:after="120"/>
      </w:pPr>
      <w:r>
        <w:rPr>
          <w:b w:val="false"/>
          <w:bCs w:val="false"/>
          <w:i w:val="false"/>
          <w:iCs w:val="false"/>
        </w:rPr>
        <w:t xml:space="preserve">Once these two contracts exist (even as an OpenAPI spec with no real implementation yet), each developer builds against a mock of the other's contract and is never blocked.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4200"/>
      </w:tblGrid>
      <w:tr>
        <w:tc>
          <w:tcPr>
            <w:tcW w:type="dxa" w:w="2600"/>
            <w:shd w:fill="8B0A2E" w:val="clear"/>
            <w:tcMar>
              <w:top w:type="dxa" w:w="80"/>
              <w:left w:type="dxa" w:w="100"/>
              <w:bottom w:type="dxa" w:w="80"/>
              <w:right w:type="dxa" w:w="100"/>
            </w:tcMar>
          </w:tcPr>
          <w:p>
            <w:r>
              <w:rPr>
                <w:b/>
                <w:bCs/>
                <w:color w:val="FFFFFF"/>
                <w:sz w:val="19"/>
                <w:szCs w:val="19"/>
              </w:rPr>
              <w:t xml:space="preserve">Contract</w:t>
            </w:r>
          </w:p>
        </w:tc>
        <w:tc>
          <w:tcPr>
            <w:tcW w:type="dxa" w:w="1300"/>
            <w:shd w:fill="8B0A2E" w:val="clear"/>
            <w:tcMar>
              <w:top w:type="dxa" w:w="80"/>
              <w:left w:type="dxa" w:w="100"/>
              <w:bottom w:type="dxa" w:w="80"/>
              <w:right w:type="dxa" w:w="100"/>
            </w:tcMar>
          </w:tcPr>
          <w:p>
            <w:r>
              <w:rPr>
                <w:b/>
                <w:bCs/>
                <w:color w:val="FFFFFF"/>
                <w:sz w:val="19"/>
                <w:szCs w:val="19"/>
              </w:rPr>
              <w:t xml:space="preserve">Owner</w:t>
            </w:r>
          </w:p>
        </w:tc>
        <w:tc>
          <w:tcPr>
            <w:tcW w:type="dxa" w:w="1700"/>
            <w:shd w:fill="8B0A2E" w:val="clear"/>
            <w:tcMar>
              <w:top w:type="dxa" w:w="80"/>
              <w:left w:type="dxa" w:w="100"/>
              <w:bottom w:type="dxa" w:w="80"/>
              <w:right w:type="dxa" w:w="100"/>
            </w:tcMar>
          </w:tcPr>
          <w:p>
            <w:r>
              <w:rPr>
                <w:b/>
                <w:bCs/>
                <w:color w:val="FFFFFF"/>
                <w:sz w:val="19"/>
                <w:szCs w:val="19"/>
              </w:rPr>
              <w:t xml:space="preserve">Consumers</w:t>
            </w:r>
          </w:p>
        </w:tc>
        <w:tc>
          <w:tcPr>
            <w:tcW w:type="dxa" w:w="4200"/>
            <w:shd w:fill="8B0A2E" w:val="clear"/>
            <w:tcMar>
              <w:top w:type="dxa" w:w="80"/>
              <w:left w:type="dxa" w:w="100"/>
              <w:bottom w:type="dxa" w:w="80"/>
              <w:right w:type="dxa" w:w="100"/>
            </w:tcMar>
          </w:tcPr>
          <w:p>
            <w:r>
              <w:rPr>
                <w:b/>
                <w:bCs/>
                <w:color w:val="FFFFFF"/>
                <w:sz w:val="19"/>
                <w:szCs w:val="19"/>
              </w:rPr>
              <w:t xml:space="preserve">Must Expose</w:t>
            </w:r>
          </w:p>
        </w:tc>
      </w:tr>
      <w:tr>
        <w:tc>
          <w:tcPr>
            <w:tcW w:type="dxa" w:w="2600"/>
            <w:tcMar>
              <w:top w:type="dxa" w:w="80"/>
              <w:left w:type="dxa" w:w="100"/>
              <w:bottom w:type="dxa" w:w="80"/>
              <w:right w:type="dxa" w:w="100"/>
            </w:tcMar>
          </w:tcPr>
          <w:p>
            <w:r>
              <w:rPr>
                <w:b w:val="false"/>
                <w:bCs w:val="false"/>
                <w:sz w:val="19"/>
                <w:szCs w:val="19"/>
              </w:rPr>
              <w:t xml:space="preserve">Expense Tracker Summary API</w:t>
            </w:r>
          </w:p>
        </w:tc>
        <w:tc>
          <w:tcPr>
            <w:tcW w:type="dxa" w:w="1300"/>
            <w:tcMar>
              <w:top w:type="dxa" w:w="80"/>
              <w:left w:type="dxa" w:w="100"/>
              <w:bottom w:type="dxa" w:w="80"/>
              <w:right w:type="dxa" w:w="100"/>
            </w:tcMar>
          </w:tcPr>
          <w:p>
            <w:r>
              <w:rPr>
                <w:b w:val="false"/>
                <w:bCs w:val="false"/>
                <w:sz w:val="19"/>
                <w:szCs w:val="19"/>
              </w:rPr>
              <w:t xml:space="preserve">Track B</w:t>
            </w:r>
          </w:p>
        </w:tc>
        <w:tc>
          <w:tcPr>
            <w:tcW w:type="dxa" w:w="1700"/>
            <w:tcMar>
              <w:top w:type="dxa" w:w="80"/>
              <w:left w:type="dxa" w:w="100"/>
              <w:bottom w:type="dxa" w:w="80"/>
              <w:right w:type="dxa" w:w="100"/>
            </w:tcMar>
          </w:tcPr>
          <w:p>
            <w:r>
              <w:rPr>
                <w:b w:val="false"/>
                <w:bCs w:val="false"/>
                <w:sz w:val="19"/>
                <w:szCs w:val="19"/>
              </w:rPr>
              <w:t xml:space="preserve">Goal Manager, FIRE Planner (Track A)</w:t>
            </w:r>
          </w:p>
        </w:tc>
        <w:tc>
          <w:tcPr>
            <w:tcW w:type="dxa" w:w="4200"/>
            <w:tcMar>
              <w:top w:type="dxa" w:w="80"/>
              <w:left w:type="dxa" w:w="100"/>
              <w:bottom w:type="dxa" w:w="80"/>
              <w:right w:type="dxa" w:w="100"/>
            </w:tcMar>
          </w:tcPr>
          <w:p>
            <w:r>
              <w:rPr>
                <w:b w:val="false"/>
                <w:bCs w:val="false"/>
                <w:sz w:val="19"/>
                <w:szCs w:val="19"/>
              </w:rPr>
              <w:t xml:space="preserve">Current-month income/outflow totals; list of goal-linked transactions (id, amount, date, linkedGoalId); trailing-12-month average annual spend (for FIRE Planner's Annual Expenses input).</w:t>
            </w:r>
          </w:p>
        </w:tc>
      </w:tr>
      <w:tr>
        <w:tc>
          <w:tcPr>
            <w:tcW w:type="dxa" w:w="2600"/>
            <w:tcMar>
              <w:top w:type="dxa" w:w="80"/>
              <w:left w:type="dxa" w:w="100"/>
              <w:bottom w:type="dxa" w:w="80"/>
              <w:right w:type="dxa" w:w="100"/>
            </w:tcMar>
          </w:tcPr>
          <w:p>
            <w:r>
              <w:rPr>
                <w:b w:val="false"/>
                <w:bCs w:val="false"/>
                <w:sz w:val="19"/>
                <w:szCs w:val="19"/>
              </w:rPr>
              <w:t xml:space="preserve">Net Worth Tracker Liabilities/Assets API</w:t>
            </w:r>
          </w:p>
        </w:tc>
        <w:tc>
          <w:tcPr>
            <w:tcW w:type="dxa" w:w="1300"/>
            <w:tcMar>
              <w:top w:type="dxa" w:w="80"/>
              <w:left w:type="dxa" w:w="100"/>
              <w:bottom w:type="dxa" w:w="80"/>
              <w:right w:type="dxa" w:w="100"/>
            </w:tcMar>
          </w:tcPr>
          <w:p>
            <w:r>
              <w:rPr>
                <w:b w:val="false"/>
                <w:bCs w:val="false"/>
                <w:sz w:val="19"/>
                <w:szCs w:val="19"/>
              </w:rPr>
              <w:t xml:space="preserve">Track A</w:t>
            </w:r>
          </w:p>
        </w:tc>
        <w:tc>
          <w:tcPr>
            <w:tcW w:type="dxa" w:w="1700"/>
            <w:tcMar>
              <w:top w:type="dxa" w:w="80"/>
              <w:left w:type="dxa" w:w="100"/>
              <w:bottom w:type="dxa" w:w="80"/>
              <w:right w:type="dxa" w:w="100"/>
            </w:tcMar>
          </w:tcPr>
          <w:p>
            <w:r>
              <w:rPr>
                <w:b w:val="false"/>
                <w:bCs w:val="false"/>
                <w:sz w:val="19"/>
                <w:szCs w:val="19"/>
              </w:rPr>
              <w:t xml:space="preserve">EMI Manager (Track B)</w:t>
            </w:r>
          </w:p>
        </w:tc>
        <w:tc>
          <w:tcPr>
            <w:tcW w:type="dxa" w:w="4200"/>
            <w:tcMar>
              <w:top w:type="dxa" w:w="80"/>
              <w:left w:type="dxa" w:w="100"/>
              <w:bottom w:type="dxa" w:w="80"/>
              <w:right w:type="dxa" w:w="100"/>
            </w:tcMar>
          </w:tcPr>
          <w:p>
            <w:r>
              <w:rPr>
                <w:b w:val="false"/>
                <w:bCs w:val="false"/>
                <w:sz w:val="19"/>
                <w:szCs w:val="19"/>
              </w:rPr>
              <w:t xml:space="preserve">Current liabilities list (id, category, balance, isIncluded); ability for EMI Manager to push a new liability record (loan) into Net Worth Tracker's liabilities table, flagged with sourceModule = EMI_MANAGER.</w:t>
            </w:r>
          </w:p>
        </w:tc>
      </w:tr>
    </w:tbl>
    <w:p>
      <w:pPr>
        <w:pStyle w:val="Heading1"/>
        <w:spacing w:after="150" w:before="300"/>
      </w:pPr>
      <w:r>
        <w:rPr>
          <w:b/>
          <w:bCs/>
          <w:color w:val="8B0A2E"/>
        </w:rPr>
        <w:t xml:space="preserve">4. Phase 1 — Parallel Build Order</w:t>
      </w:r>
    </w:p>
    <w:p>
      <w:pPr>
        <w:pStyle w:val="Heading2"/>
        <w:spacing w:after="100" w:before="200"/>
      </w:pPr>
      <w:r>
        <w:rPr>
          <w:b/>
          <w:bCs/>
          <w:color w:val="8B0A2E"/>
        </w:rPr>
        <w:t xml:space="preserve">4.1 Track A — Build Order</w:t>
      </w:r>
    </w:p>
    <w:p>
      <w:pPr>
        <w:pStyle w:val="ListParagraph"/>
        <w:numPr>
          <w:ilvl w:val="0"/>
          <w:numId w:val="2"/>
        </w:numPr>
        <w:spacing w:after="80"/>
      </w:pPr>
      <w:r>
        <w:rPr>
          <w:b/>
          <w:bCs/>
        </w:rPr>
        <w:t xml:space="preserve">1. Portfolio Tracker</w:t>
      </w:r>
      <w:r>
        <w:t xml:space="preserve"> — asset classes (Indian Stocks, Mutual Funds, ETFs, NPS/UPS, US Stocks/ETFs, Deposits, Bonds, Metals), Strategy+Factory+Caffeine price-provider pattern, dashboard, Growth Outlook, Drawdown Check, holdings tables. Ships first because Net Worth Tracker needs it as a linkable source.</w:t>
      </w:r>
    </w:p>
    <w:p>
      <w:pPr>
        <w:pStyle w:val="ListParagraph"/>
        <w:numPr>
          <w:ilvl w:val="0"/>
          <w:numId w:val="2"/>
        </w:numPr>
        <w:spacing w:after="80"/>
      </w:pPr>
      <w:r>
        <w:rPr>
          <w:b/>
          <w:bCs/>
        </w:rPr>
        <w:t xml:space="preserve">2. Net Worth Tracker</w:t>
      </w:r>
      <w:r>
        <w:t xml:space="preserve"> — Assets/Liabilities/Summary tabs, manual + Portfolio-linked assets, widened category enums, projection engine (3 growth scenarios), category breakdown, top holdings. Consumes Portfolio Tracker directly (same developer, same context — no contract needed internally).</w:t>
      </w:r>
    </w:p>
    <w:p>
      <w:pPr>
        <w:pStyle w:val="ListParagraph"/>
        <w:numPr>
          <w:ilvl w:val="0"/>
          <w:numId w:val="2"/>
        </w:numPr>
        <w:spacing w:after="80"/>
      </w:pPr>
      <w:r>
        <w:rPr>
          <w:b/>
          <w:bCs/>
        </w:rPr>
        <w:t xml:space="preserve">3. Goal Manager</w:t>
      </w:r>
      <w:r>
        <w:t xml:space="preserve"> — dashboard, Goal Settings, Goal Detail, Timeline view, Create Goal modal, contribution tooling. Consumes Net Worth/Portfolio (internal) and Expense Tracker's goal-linked transactions (external contract from Track B — build against the mock first).</w:t>
      </w:r>
    </w:p>
    <w:p>
      <w:pPr>
        <w:pStyle w:val="ListParagraph"/>
        <w:numPr>
          <w:ilvl w:val="0"/>
          <w:numId w:val="2"/>
        </w:numPr>
        <w:spacing w:after="80"/>
      </w:pPr>
      <w:r>
        <w:rPr>
          <w:b/>
          <w:bCs/>
        </w:rPr>
        <w:t xml:space="preserve">4. FIRE Planner</w:t>
      </w:r>
      <w:r>
        <w:t xml:space="preserve"> — both calculator modes (Target-Years-to-FIRE → Required Monthly Savings; Monthly Savings → Years to FIRE), Summary tab with insights feed and savings-growth chart. Consumes Net Worth/Portfolio (internal) and Expense Tracker's annual-spend figure (external contract, mocked initially). Reuses the shared growth engine built in module 2.</w:t>
      </w:r>
    </w:p>
    <w:p>
      <w:pPr>
        <w:pStyle w:val="Heading2"/>
        <w:spacing w:after="100" w:before="200"/>
      </w:pPr>
      <w:r>
        <w:rPr>
          <w:b/>
          <w:bCs/>
          <w:color w:val="8B0A2E"/>
        </w:rPr>
        <w:t xml:space="preserve">4.2 Track B — Build Order</w:t>
      </w:r>
    </w:p>
    <w:p>
      <w:pPr>
        <w:pStyle w:val="ListParagraph"/>
        <w:numPr>
          <w:ilvl w:val="0"/>
          <w:numId w:val="2"/>
        </w:numPr>
        <w:spacing w:after="80"/>
      </w:pPr>
      <w:r>
        <w:rPr>
          <w:b/>
          <w:bCs/>
        </w:rPr>
        <w:t xml:space="preserve">1. Expense Tracker</w:t>
      </w:r>
      <w:r>
        <w:t xml:space="preserve"> — Budget Month scoping, Income Sources, Transactions (Pending/Done), Goal Manager linking, Tasks, Notes, Summary donuts, Financial Insights panel. Ships first — it's both the cash-flow backbone and the module Track A's contract depends on, so get its API surface stable early.</w:t>
      </w:r>
    </w:p>
    <w:p>
      <w:pPr>
        <w:pStyle w:val="ListParagraph"/>
        <w:numPr>
          <w:ilvl w:val="0"/>
          <w:numId w:val="2"/>
        </w:numPr>
        <w:spacing w:after="80"/>
      </w:pPr>
      <w:r>
        <w:rPr>
          <w:b/>
          <w:bCs/>
        </w:rPr>
        <w:t xml:space="preserve">2. Vault</w:t>
      </w:r>
      <w:r>
        <w:t xml:space="preserve"> — fully independent of everything else in the suite; can be built any time, even before Expense Tracker, if it unblocks parallel work. Master password setup, backup codes, Device Protection, Biometric Unlock, CAPTCHA-gated unlock, Secure Note create/view with timed auto-hide reveal, client-side-only search.</w:t>
      </w:r>
    </w:p>
    <w:p>
      <w:pPr>
        <w:pStyle w:val="ListParagraph"/>
        <w:numPr>
          <w:ilvl w:val="0"/>
          <w:numId w:val="2"/>
        </w:numPr>
        <w:spacing w:after="80"/>
      </w:pPr>
      <w:r>
        <w:rPr>
          <w:b/>
          <w:bCs/>
        </w:rPr>
        <w:t xml:space="preserve">3. Trip Manager</w:t>
      </w:r>
      <w:r>
        <w:t xml:space="preserve"> — trip creation (manual + AI-assisted), Overview/Plan/Money/Pack &amp; Prep/Checklist tabs, participants with dependent/family nesting, Smart Split Calculator, full Insights sub-tab. Also fully self-contained — no dependency on Expense Tracker or any other module's data.</w:t>
      </w:r>
    </w:p>
    <w:p>
      <w:pPr>
        <w:pStyle w:val="ListParagraph"/>
        <w:numPr>
          <w:ilvl w:val="0"/>
          <w:numId w:val="2"/>
        </w:numPr>
        <w:spacing w:after="80"/>
      </w:pPr>
      <w:r>
        <w:rPr>
          <w:b/>
          <w:bCs/>
        </w:rPr>
        <w:t xml:space="preserve">4. EMI Manager</w:t>
      </w:r>
      <w:r>
        <w:t xml:space="preserve"> — not yet explored in the reference doc (Coming Soon in Westro); scope from first principles as loan schedules, EMI calculation, prepayment handling. The one Track B module with a real external dependency — needs Net Worth Tracker's liabilities contract (Track A) to push loan balances in, and reads its own EMI payments against Expense Tracker (internal, same developer).</w:t>
      </w:r>
    </w:p>
    <w:p>
      <w:pPr>
        <w:pStyle w:val="Heading1"/>
        <w:spacing w:after="150" w:before="300"/>
      </w:pPr>
      <w:r>
        <w:rPr>
          <w:b/>
          <w:bCs/>
          <w:color w:val="8B0A2E"/>
        </w:rPr>
        <w:t xml:space="preserve">5. Phase 2 — Integration (Both Developers)</w:t>
      </w:r>
    </w:p>
    <w:p>
      <w:pPr>
        <w:pStyle w:val="ListParagraph"/>
        <w:numPr>
          <w:ilvl w:val="0"/>
          <w:numId w:val="2"/>
        </w:numPr>
        <w:spacing w:after="80"/>
      </w:pPr>
      <w:r>
        <w:t xml:space="preserve">Swap Track A's mock of the Expense Tracker contract for the real API; swap Track B's mock of the Net Worth Tracker contract for the real API.</w:t>
      </w:r>
    </w:p>
    <w:p>
      <w:pPr>
        <w:pStyle w:val="ListParagraph"/>
        <w:numPr>
          <w:ilvl w:val="0"/>
          <w:numId w:val="2"/>
        </w:numPr>
        <w:spacing w:after="80"/>
      </w:pPr>
      <w:r>
        <w:t xml:space="preserve">Build the Suite-Wide Insights tab jointly — Financial Health Overview score, cross-module Key Metrics grid, Trends &amp; Analysis charts, Insights &amp; Recommendations feed. This is the one screen that structurally needs both tracks' data and shouldn't be assigned to just one person.</w:t>
      </w:r>
    </w:p>
    <w:p>
      <w:pPr>
        <w:pStyle w:val="ListParagraph"/>
        <w:numPr>
          <w:ilvl w:val="0"/>
          <w:numId w:val="2"/>
        </w:numPr>
        <w:spacing w:after="80"/>
      </w:pPr>
      <w:r>
        <w:t xml:space="preserve">End-to-end test Delink behavior on a Portfolio-linked Net Worth asset and a Goal-linked Expense transaction.</w:t>
      </w:r>
    </w:p>
    <w:p>
      <w:pPr>
        <w:pStyle w:val="ListParagraph"/>
        <w:numPr>
          <w:ilvl w:val="0"/>
          <w:numId w:val="2"/>
        </w:numPr>
        <w:spacing w:after="80"/>
      </w:pPr>
      <w:r>
        <w:t xml:space="preserve">End-to-end test EMI Manager → Net Worth Tracker liability sync, and Goal Manager / FIRE Planner reading real (not mocked) Expense Tracker data.</w:t>
      </w:r>
    </w:p>
    <w:p>
      <w:pPr>
        <w:pStyle w:val="ListParagraph"/>
        <w:numPr>
          <w:ilvl w:val="0"/>
          <w:numId w:val="2"/>
        </w:numPr>
        <w:spacing w:after="80"/>
      </w:pPr>
      <w:r>
        <w:t xml:space="preserve">Reconcile the three independent scoring layers (Expense Tracker's own health metrics, Net Worth Tracker's Health Score, Suite-Wide Financial Health Overview) — confirm intentional overlap vs. redundant computation.</w:t>
      </w:r>
    </w:p>
    <w:p>
      <w:pPr>
        <w:pStyle w:val="Heading1"/>
        <w:spacing w:after="150" w:before="300"/>
      </w:pPr>
      <w:r>
        <w:rPr>
          <w:b/>
          <w:bCs/>
          <w:color w:val="8B0A2E"/>
        </w:rPr>
        <w:t xml:space="preserve">6. Suggested Timeline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500"/>
      </w:tblGrid>
      <w:tr>
        <w:tc>
          <w:tcPr>
            <w:tcW w:type="dxa" w:w="1200"/>
            <w:shd w:fill="8B0A2E" w:val="clear"/>
            <w:tcMar>
              <w:top w:type="dxa" w:w="80"/>
              <w:left w:type="dxa" w:w="100"/>
              <w:bottom w:type="dxa" w:w="80"/>
              <w:right w:type="dxa" w:w="100"/>
            </w:tcMar>
          </w:tcPr>
          <w:p>
            <w:r>
              <w:rPr>
                <w:b/>
                <w:bCs/>
                <w:color w:val="FFFFFF"/>
                <w:sz w:val="19"/>
                <w:szCs w:val="19"/>
              </w:rPr>
              <w:t xml:space="preserve">Weeks</w:t>
            </w:r>
          </w:p>
        </w:tc>
        <w:tc>
          <w:tcPr>
            <w:tcW w:type="dxa" w:w="3000"/>
            <w:shd w:fill="8B0A2E" w:val="clear"/>
            <w:tcMar>
              <w:top w:type="dxa" w:w="80"/>
              <w:left w:type="dxa" w:w="100"/>
              <w:bottom w:type="dxa" w:w="80"/>
              <w:right w:type="dxa" w:w="100"/>
            </w:tcMar>
          </w:tcPr>
          <w:p>
            <w:r>
              <w:rPr>
                <w:b/>
                <w:bCs/>
                <w:color w:val="FFFFFF"/>
                <w:sz w:val="19"/>
                <w:szCs w:val="19"/>
              </w:rPr>
              <w:t xml:space="preserve">Track A</w:t>
            </w:r>
          </w:p>
        </w:tc>
        <w:tc>
          <w:tcPr>
            <w:tcW w:type="dxa" w:w="3000"/>
            <w:shd w:fill="8B0A2E" w:val="clear"/>
            <w:tcMar>
              <w:top w:type="dxa" w:w="80"/>
              <w:left w:type="dxa" w:w="100"/>
              <w:bottom w:type="dxa" w:w="80"/>
              <w:right w:type="dxa" w:w="100"/>
            </w:tcMar>
          </w:tcPr>
          <w:p>
            <w:r>
              <w:rPr>
                <w:b/>
                <w:bCs/>
                <w:color w:val="FFFFFF"/>
                <w:sz w:val="19"/>
                <w:szCs w:val="19"/>
              </w:rPr>
              <w:t xml:space="preserve">Track B</w:t>
            </w:r>
          </w:p>
        </w:tc>
        <w:tc>
          <w:tcPr>
            <w:tcW w:type="dxa" w:w="2500"/>
            <w:shd w:fill="8B0A2E" w:val="clear"/>
            <w:tcMar>
              <w:top w:type="dxa" w:w="80"/>
              <w:left w:type="dxa" w:w="100"/>
              <w:bottom w:type="dxa" w:w="80"/>
              <w:right w:type="dxa" w:w="100"/>
            </w:tcMar>
          </w:tcPr>
          <w:p>
            <w:r>
              <w:rPr>
                <w:b/>
                <w:bCs/>
                <w:color w:val="FFFFFF"/>
                <w:sz w:val="19"/>
                <w:szCs w:val="19"/>
              </w:rPr>
              <w:t xml:space="preserve">Joint</w:t>
            </w:r>
          </w:p>
        </w:tc>
      </w:tr>
      <w:tr>
        <w:tc>
          <w:tcPr>
            <w:tcW w:type="dxa" w:w="1200"/>
            <w:tcMar>
              <w:top w:type="dxa" w:w="80"/>
              <w:left w:type="dxa" w:w="100"/>
              <w:bottom w:type="dxa" w:w="80"/>
              <w:right w:type="dxa" w:w="100"/>
            </w:tcMar>
          </w:tcPr>
          <w:p>
            <w:r>
              <w:rPr>
                <w:b w:val="false"/>
                <w:bCs w:val="false"/>
                <w:sz w:val="19"/>
                <w:szCs w:val="19"/>
              </w:rPr>
              <w:t xml:space="preserve">Week 1</w:t>
            </w:r>
          </w:p>
        </w:tc>
        <w:tc>
          <w:tcPr>
            <w:tcW w:type="dxa" w:w="3000"/>
            <w:tcMar>
              <w:top w:type="dxa" w:w="80"/>
              <w:left w:type="dxa" w:w="100"/>
              <w:bottom w:type="dxa" w:w="80"/>
              <w:right w:type="dxa" w:w="100"/>
            </w:tcMar>
          </w:tcPr>
          <w:p>
            <w:r>
              <w:rPr>
                <w:b w:val="false"/>
                <w:bCs w:val="false"/>
                <w:sz w:val="19"/>
                <w:szCs w:val="19"/>
              </w:rPr>
              <w:t xml:space="preserve">—</w:t>
            </w:r>
          </w:p>
        </w:tc>
        <w:tc>
          <w:tcPr>
            <w:tcW w:type="dxa" w:w="3000"/>
            <w:tcMar>
              <w:top w:type="dxa" w:w="80"/>
              <w:left w:type="dxa" w:w="100"/>
              <w:bottom w:type="dxa" w:w="80"/>
              <w:right w:type="dxa" w:w="100"/>
            </w:tcMar>
          </w:tcPr>
          <w:p>
            <w:r>
              <w:rPr>
                <w:b w:val="false"/>
                <w:bCs w:val="false"/>
                <w:sz w:val="19"/>
                <w:szCs w:val="19"/>
              </w:rPr>
              <w:t xml:space="preserve">—</w:t>
            </w:r>
          </w:p>
        </w:tc>
        <w:tc>
          <w:tcPr>
            <w:tcW w:type="dxa" w:w="2500"/>
            <w:tcMar>
              <w:top w:type="dxa" w:w="80"/>
              <w:left w:type="dxa" w:w="100"/>
              <w:bottom w:type="dxa" w:w="80"/>
              <w:right w:type="dxa" w:w="100"/>
            </w:tcMar>
          </w:tcPr>
          <w:p>
            <w:r>
              <w:rPr>
                <w:b w:val="false"/>
                <w:bCs w:val="false"/>
                <w:sz w:val="19"/>
                <w:szCs w:val="19"/>
              </w:rPr>
              <w:t xml:space="preserve">Phase 0: infra, linking mechanism, shared components, contracts</w:t>
            </w:r>
          </w:p>
        </w:tc>
      </w:tr>
      <w:tr>
        <w:tc>
          <w:tcPr>
            <w:tcW w:type="dxa" w:w="1200"/>
            <w:tcMar>
              <w:top w:type="dxa" w:w="80"/>
              <w:left w:type="dxa" w:w="100"/>
              <w:bottom w:type="dxa" w:w="80"/>
              <w:right w:type="dxa" w:w="100"/>
            </w:tcMar>
          </w:tcPr>
          <w:p>
            <w:r>
              <w:rPr>
                <w:b w:val="false"/>
                <w:bCs w:val="false"/>
                <w:sz w:val="19"/>
                <w:szCs w:val="19"/>
              </w:rPr>
              <w:t xml:space="preserve">Weeks 2–3</w:t>
            </w:r>
          </w:p>
        </w:tc>
        <w:tc>
          <w:tcPr>
            <w:tcW w:type="dxa" w:w="3000"/>
            <w:tcMar>
              <w:top w:type="dxa" w:w="80"/>
              <w:left w:type="dxa" w:w="100"/>
              <w:bottom w:type="dxa" w:w="80"/>
              <w:right w:type="dxa" w:w="100"/>
            </w:tcMar>
          </w:tcPr>
          <w:p>
            <w:r>
              <w:rPr>
                <w:b w:val="false"/>
                <w:bCs w:val="false"/>
                <w:sz w:val="19"/>
                <w:szCs w:val="19"/>
              </w:rPr>
              <w:t xml:space="preserve">Portfolio Tracker</w:t>
            </w:r>
          </w:p>
        </w:tc>
        <w:tc>
          <w:tcPr>
            <w:tcW w:type="dxa" w:w="3000"/>
            <w:tcMar>
              <w:top w:type="dxa" w:w="80"/>
              <w:left w:type="dxa" w:w="100"/>
              <w:bottom w:type="dxa" w:w="80"/>
              <w:right w:type="dxa" w:w="100"/>
            </w:tcMar>
          </w:tcPr>
          <w:p>
            <w:r>
              <w:rPr>
                <w:b w:val="false"/>
                <w:bCs w:val="false"/>
                <w:sz w:val="19"/>
                <w:szCs w:val="19"/>
              </w:rPr>
              <w:t xml:space="preserve">Expense Tracker</w:t>
            </w:r>
          </w:p>
        </w:tc>
        <w:tc>
          <w:tcPr>
            <w:tcW w:type="dxa" w:w="2500"/>
            <w:tcMar>
              <w:top w:type="dxa" w:w="80"/>
              <w:left w:type="dxa" w:w="100"/>
              <w:bottom w:type="dxa" w:w="80"/>
              <w:right w:type="dxa" w:w="100"/>
            </w:tcMar>
          </w:tcPr>
          <w:p>
            <w:r>
              <w:rPr>
                <w:b w:val="false"/>
                <w:bCs w:val="false"/>
                <w:sz w:val="19"/>
                <w:szCs w:val="19"/>
              </w:rPr>
              <w:t xml:space="preserve">—</w:t>
            </w:r>
          </w:p>
        </w:tc>
      </w:tr>
      <w:tr>
        <w:tc>
          <w:tcPr>
            <w:tcW w:type="dxa" w:w="1200"/>
            <w:tcMar>
              <w:top w:type="dxa" w:w="80"/>
              <w:left w:type="dxa" w:w="100"/>
              <w:bottom w:type="dxa" w:w="80"/>
              <w:right w:type="dxa" w:w="100"/>
            </w:tcMar>
          </w:tcPr>
          <w:p>
            <w:r>
              <w:rPr>
                <w:b w:val="false"/>
                <w:bCs w:val="false"/>
                <w:sz w:val="19"/>
                <w:szCs w:val="19"/>
              </w:rPr>
              <w:t xml:space="preserve">Weeks 4–5</w:t>
            </w:r>
          </w:p>
        </w:tc>
        <w:tc>
          <w:tcPr>
            <w:tcW w:type="dxa" w:w="3000"/>
            <w:tcMar>
              <w:top w:type="dxa" w:w="80"/>
              <w:left w:type="dxa" w:w="100"/>
              <w:bottom w:type="dxa" w:w="80"/>
              <w:right w:type="dxa" w:w="100"/>
            </w:tcMar>
          </w:tcPr>
          <w:p>
            <w:r>
              <w:rPr>
                <w:b w:val="false"/>
                <w:bCs w:val="false"/>
                <w:sz w:val="19"/>
                <w:szCs w:val="19"/>
              </w:rPr>
              <w:t xml:space="preserve">Net Worth Tracker</w:t>
            </w:r>
          </w:p>
        </w:tc>
        <w:tc>
          <w:tcPr>
            <w:tcW w:type="dxa" w:w="3000"/>
            <w:tcMar>
              <w:top w:type="dxa" w:w="80"/>
              <w:left w:type="dxa" w:w="100"/>
              <w:bottom w:type="dxa" w:w="80"/>
              <w:right w:type="dxa" w:w="100"/>
            </w:tcMar>
          </w:tcPr>
          <w:p>
            <w:r>
              <w:rPr>
                <w:b w:val="false"/>
                <w:bCs w:val="false"/>
                <w:sz w:val="19"/>
                <w:szCs w:val="19"/>
              </w:rPr>
              <w:t xml:space="preserve">Vault</w:t>
            </w:r>
          </w:p>
        </w:tc>
        <w:tc>
          <w:tcPr>
            <w:tcW w:type="dxa" w:w="2500"/>
            <w:tcMar>
              <w:top w:type="dxa" w:w="80"/>
              <w:left w:type="dxa" w:w="100"/>
              <w:bottom w:type="dxa" w:w="80"/>
              <w:right w:type="dxa" w:w="100"/>
            </w:tcMar>
          </w:tcPr>
          <w:p>
            <w:r>
              <w:rPr>
                <w:b w:val="false"/>
                <w:bCs w:val="false"/>
                <w:sz w:val="19"/>
                <w:szCs w:val="19"/>
              </w:rPr>
              <w:t xml:space="preserve">—</w:t>
            </w:r>
          </w:p>
        </w:tc>
      </w:tr>
      <w:tr>
        <w:tc>
          <w:tcPr>
            <w:tcW w:type="dxa" w:w="1200"/>
            <w:tcMar>
              <w:top w:type="dxa" w:w="80"/>
              <w:left w:type="dxa" w:w="100"/>
              <w:bottom w:type="dxa" w:w="80"/>
              <w:right w:type="dxa" w:w="100"/>
            </w:tcMar>
          </w:tcPr>
          <w:p>
            <w:r>
              <w:rPr>
                <w:b w:val="false"/>
                <w:bCs w:val="false"/>
                <w:sz w:val="19"/>
                <w:szCs w:val="19"/>
              </w:rPr>
              <w:t xml:space="preserve">Weeks 6–7</w:t>
            </w:r>
          </w:p>
        </w:tc>
        <w:tc>
          <w:tcPr>
            <w:tcW w:type="dxa" w:w="3000"/>
            <w:tcMar>
              <w:top w:type="dxa" w:w="80"/>
              <w:left w:type="dxa" w:w="100"/>
              <w:bottom w:type="dxa" w:w="80"/>
              <w:right w:type="dxa" w:w="100"/>
            </w:tcMar>
          </w:tcPr>
          <w:p>
            <w:r>
              <w:rPr>
                <w:b w:val="false"/>
                <w:bCs w:val="false"/>
                <w:sz w:val="19"/>
                <w:szCs w:val="19"/>
              </w:rPr>
              <w:t xml:space="preserve">Goal Manager (against mocked Expense contract)</w:t>
            </w:r>
          </w:p>
        </w:tc>
        <w:tc>
          <w:tcPr>
            <w:tcW w:type="dxa" w:w="3000"/>
            <w:tcMar>
              <w:top w:type="dxa" w:w="80"/>
              <w:left w:type="dxa" w:w="100"/>
              <w:bottom w:type="dxa" w:w="80"/>
              <w:right w:type="dxa" w:w="100"/>
            </w:tcMar>
          </w:tcPr>
          <w:p>
            <w:r>
              <w:rPr>
                <w:b w:val="false"/>
                <w:bCs w:val="false"/>
                <w:sz w:val="19"/>
                <w:szCs w:val="19"/>
              </w:rPr>
              <w:t xml:space="preserve">Trip Manager</w:t>
            </w:r>
          </w:p>
        </w:tc>
        <w:tc>
          <w:tcPr>
            <w:tcW w:type="dxa" w:w="2500"/>
            <w:tcMar>
              <w:top w:type="dxa" w:w="80"/>
              <w:left w:type="dxa" w:w="100"/>
              <w:bottom w:type="dxa" w:w="80"/>
              <w:right w:type="dxa" w:w="100"/>
            </w:tcMar>
          </w:tcPr>
          <w:p>
            <w:r>
              <w:rPr>
                <w:b w:val="false"/>
                <w:bCs w:val="false"/>
                <w:sz w:val="19"/>
                <w:szCs w:val="19"/>
              </w:rPr>
              <w:t xml:space="preserve">—</w:t>
            </w:r>
          </w:p>
        </w:tc>
      </w:tr>
      <w:tr>
        <w:tc>
          <w:tcPr>
            <w:tcW w:type="dxa" w:w="1200"/>
            <w:tcMar>
              <w:top w:type="dxa" w:w="80"/>
              <w:left w:type="dxa" w:w="100"/>
              <w:bottom w:type="dxa" w:w="80"/>
              <w:right w:type="dxa" w:w="100"/>
            </w:tcMar>
          </w:tcPr>
          <w:p>
            <w:r>
              <w:rPr>
                <w:b w:val="false"/>
                <w:bCs w:val="false"/>
                <w:sz w:val="19"/>
                <w:szCs w:val="19"/>
              </w:rPr>
              <w:t xml:space="preserve">Weeks 8–9</w:t>
            </w:r>
          </w:p>
        </w:tc>
        <w:tc>
          <w:tcPr>
            <w:tcW w:type="dxa" w:w="3000"/>
            <w:tcMar>
              <w:top w:type="dxa" w:w="80"/>
              <w:left w:type="dxa" w:w="100"/>
              <w:bottom w:type="dxa" w:w="80"/>
              <w:right w:type="dxa" w:w="100"/>
            </w:tcMar>
          </w:tcPr>
          <w:p>
            <w:r>
              <w:rPr>
                <w:b w:val="false"/>
                <w:bCs w:val="false"/>
                <w:sz w:val="19"/>
                <w:szCs w:val="19"/>
              </w:rPr>
              <w:t xml:space="preserve">FIRE Planner (against mocked Expense contract)</w:t>
            </w:r>
          </w:p>
        </w:tc>
        <w:tc>
          <w:tcPr>
            <w:tcW w:type="dxa" w:w="3000"/>
            <w:tcMar>
              <w:top w:type="dxa" w:w="80"/>
              <w:left w:type="dxa" w:w="100"/>
              <w:bottom w:type="dxa" w:w="80"/>
              <w:right w:type="dxa" w:w="100"/>
            </w:tcMar>
          </w:tcPr>
          <w:p>
            <w:r>
              <w:rPr>
                <w:b w:val="false"/>
                <w:bCs w:val="false"/>
                <w:sz w:val="19"/>
                <w:szCs w:val="19"/>
              </w:rPr>
              <w:t xml:space="preserve">EMI Manager (against mocked Net Worth contract)</w:t>
            </w:r>
          </w:p>
        </w:tc>
        <w:tc>
          <w:tcPr>
            <w:tcW w:type="dxa" w:w="2500"/>
            <w:tcMar>
              <w:top w:type="dxa" w:w="80"/>
              <w:left w:type="dxa" w:w="100"/>
              <w:bottom w:type="dxa" w:w="80"/>
              <w:right w:type="dxa" w:w="100"/>
            </w:tcMar>
          </w:tcPr>
          <w:p>
            <w:r>
              <w:rPr>
                <w:b w:val="false"/>
                <w:bCs w:val="false"/>
                <w:sz w:val="19"/>
                <w:szCs w:val="19"/>
              </w:rPr>
              <w:t xml:space="preserve">—</w:t>
            </w:r>
          </w:p>
        </w:tc>
      </w:tr>
      <w:tr>
        <w:tc>
          <w:tcPr>
            <w:tcW w:type="dxa" w:w="1200"/>
            <w:tcMar>
              <w:top w:type="dxa" w:w="80"/>
              <w:left w:type="dxa" w:w="100"/>
              <w:bottom w:type="dxa" w:w="80"/>
              <w:right w:type="dxa" w:w="100"/>
            </w:tcMar>
          </w:tcPr>
          <w:p>
            <w:r>
              <w:rPr>
                <w:b w:val="false"/>
                <w:bCs w:val="false"/>
                <w:sz w:val="19"/>
                <w:szCs w:val="19"/>
              </w:rPr>
              <w:t xml:space="preserve">Week 10</w:t>
            </w:r>
          </w:p>
        </w:tc>
        <w:tc>
          <w:tcPr>
            <w:tcW w:type="dxa" w:w="3000"/>
            <w:tcMar>
              <w:top w:type="dxa" w:w="80"/>
              <w:left w:type="dxa" w:w="100"/>
              <w:bottom w:type="dxa" w:w="80"/>
              <w:right w:type="dxa" w:w="100"/>
            </w:tcMar>
          </w:tcPr>
          <w:p>
            <w:r>
              <w:rPr>
                <w:b w:val="false"/>
                <w:bCs w:val="false"/>
                <w:sz w:val="19"/>
                <w:szCs w:val="19"/>
              </w:rPr>
              <w:t xml:space="preserve">—</w:t>
            </w:r>
          </w:p>
        </w:tc>
        <w:tc>
          <w:tcPr>
            <w:tcW w:type="dxa" w:w="3000"/>
            <w:tcMar>
              <w:top w:type="dxa" w:w="80"/>
              <w:left w:type="dxa" w:w="100"/>
              <w:bottom w:type="dxa" w:w="80"/>
              <w:right w:type="dxa" w:w="100"/>
            </w:tcMar>
          </w:tcPr>
          <w:p>
            <w:r>
              <w:rPr>
                <w:b w:val="false"/>
                <w:bCs w:val="false"/>
                <w:sz w:val="19"/>
                <w:szCs w:val="19"/>
              </w:rPr>
              <w:t xml:space="preserve">—</w:t>
            </w:r>
          </w:p>
        </w:tc>
        <w:tc>
          <w:tcPr>
            <w:tcW w:type="dxa" w:w="2500"/>
            <w:tcMar>
              <w:top w:type="dxa" w:w="80"/>
              <w:left w:type="dxa" w:w="100"/>
              <w:bottom w:type="dxa" w:w="80"/>
              <w:right w:type="dxa" w:w="100"/>
            </w:tcMar>
          </w:tcPr>
          <w:p>
            <w:r>
              <w:rPr>
                <w:b w:val="false"/>
                <w:bCs w:val="false"/>
                <w:sz w:val="19"/>
                <w:szCs w:val="19"/>
              </w:rPr>
              <w:t xml:space="preserve">Phase 2: integration, Suite Insights, end-to-end testing</w:t>
            </w:r>
          </w:p>
        </w:tc>
      </w:tr>
    </w:tbl>
    <w:p>
      <w:pPr>
        <w:spacing w:after="120"/>
      </w:pPr>
      <w:r>
        <w:rPr>
          <w:b w:val="false"/>
          <w:bCs w:val="false"/>
          <w:i/>
          <w:iCs/>
        </w:rPr>
        <w:t xml:space="preserve">Adjust freely — this assumes roughly even effort per module, which is a simplification (Trip Manager and Net Worth Tracker are both larger than Vault). Treat it as a sequencing guide, not a committed estimate.</w:t>
      </w:r>
    </w:p>
    <w:p>
      <w:pPr>
        <w:pStyle w:val="Heading1"/>
        <w:spacing w:after="150" w:before="300"/>
      </w:pPr>
      <w:r>
        <w:rPr>
          <w:b/>
          <w:bCs/>
          <w:color w:val="8B0A2E"/>
        </w:rPr>
        <w:t xml:space="preserve">7. Next Steps</w:t>
      </w:r>
    </w:p>
    <w:p>
      <w:pPr>
        <w:pStyle w:val="ListParagraph"/>
        <w:numPr>
          <w:ilvl w:val="0"/>
          <w:numId w:val="2"/>
        </w:numPr>
        <w:spacing w:after="80"/>
      </w:pPr>
      <w:r>
        <w:t xml:space="preserve">Confirm this split and the two API contracts in §3.4 before either developer starts Phase 1.</w:t>
      </w:r>
    </w:p>
    <w:p>
      <w:pPr>
        <w:pStyle w:val="ListParagraph"/>
        <w:numPr>
          <w:ilvl w:val="0"/>
          <w:numId w:val="2"/>
        </w:numPr>
        <w:spacing w:after="80"/>
      </w:pPr>
      <w:r>
        <w:t xml:space="preserve">Detailed, phased AI-IDE build prompts per module — each with a mandatory Step 0 written plan, referencing the Finora Master Reference Document as source of truth for that module's UX and data model — to follow next, one module at a time, starting wherever you want to begin.</w:t>
      </w:r>
    </w:p>
    <w:p>
      <w:pPr>
        <w:spacing w:before="300"/>
      </w:pPr>
      <w:r>
        <w:rPr>
          <w:i/>
          <w:iCs/>
          <w:sz w:val="18"/>
          <w:szCs w:val="18"/>
        </w:rPr>
        <w:t xml:space="preserve">Finora — Team Build Plan. Companion to the Finora Master Reference Document. Update as Phase 0 decisions are finalized and as EMI Manager is scoped from first principles.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2026-08-23T19:06:41.343Z</dcterms:created>
  <dcterms:modified xsi:type="dcterms:W3CDTF">2026-08-23T19:06:41.344Z</dcterms:modified>
</cp:coreProperties>
</file>

<file path=docProps/custom.xml><?xml version="1.0" encoding="utf-8"?>
<Properties xmlns="http://schemas.openxmlformats.org/officeDocument/2006/custom-properties" xmlns:vt="http://schemas.openxmlformats.org/officeDocument/2006/docPropsVTypes"/>
</file>