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ARAGRAPHNAME"/>
        <w:tblW w:w="0" w:type="auto"/>
        <w:tblCellSpacing w:w="0" w:type="dxa"/>
        <w:tblInd w:w="700" w:type="dxa"/>
        <w:shd w:val="clear" w:color="auto" w:fill="434D54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80"/>
        <w:gridCol w:w="10160"/>
      </w:tblGrid>
      <w:tr w:rsidR="007F3150" w14:paraId="00A96C06" w14:textId="77777777">
        <w:trPr>
          <w:trHeight w:val="1580"/>
          <w:tblCellSpacing w:w="0" w:type="dxa"/>
        </w:trPr>
        <w:tc>
          <w:tcPr>
            <w:tcW w:w="2080" w:type="dxa"/>
            <w:shd w:val="clear" w:color="auto" w:fill="434D54"/>
            <w:tcMar>
              <w:top w:w="600" w:type="dxa"/>
              <w:left w:w="700" w:type="dxa"/>
              <w:bottom w:w="0" w:type="dxa"/>
              <w:right w:w="100" w:type="dxa"/>
            </w:tcMar>
            <w:hideMark/>
          </w:tcPr>
          <w:p w14:paraId="5685880F" w14:textId="77777777" w:rsidR="007F3150" w:rsidRDefault="00000000">
            <w:pPr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57B0315B" wp14:editId="1D62573D">
                  <wp:extent cx="862538" cy="824941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38" cy="82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shd w:val="clear" w:color="auto" w:fill="434D54"/>
            <w:tcMar>
              <w:top w:w="600" w:type="dxa"/>
              <w:left w:w="0" w:type="dxa"/>
              <w:bottom w:w="0" w:type="dxa"/>
              <w:right w:w="500" w:type="dxa"/>
            </w:tcMar>
            <w:hideMark/>
          </w:tcPr>
          <w:p w14:paraId="5BC190CC" w14:textId="77777777" w:rsidR="007F3150" w:rsidRDefault="00000000">
            <w:pPr>
              <w:pStyle w:val="namediv"/>
              <w:spacing w:line="680" w:lineRule="exact"/>
              <w:ind w:left="440"/>
              <w:rPr>
                <w:rStyle w:val="PARAGRAPHNAME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>AMY</w:t>
            </w:r>
            <w:r>
              <w:rPr>
                <w:rStyle w:val="PARAGRAPHNAME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  <w:shd w:val="clear" w:color="auto" w:fill="auto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>DIXON</w:t>
            </w:r>
          </w:p>
          <w:p w14:paraId="2BDCCAC9" w14:textId="77777777" w:rsidR="007F3150" w:rsidRDefault="00000000">
            <w:pPr>
              <w:pStyle w:val="addressdivnth-child1"/>
              <w:spacing w:before="80" w:line="260" w:lineRule="atLeast"/>
              <w:ind w:left="1180" w:right="200"/>
              <w:rPr>
                <w:rStyle w:val="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amyslittletreats@hotmail.co.uk</w:t>
            </w:r>
            <w:r>
              <w:rPr>
                <w:rStyle w:val="addresssprtr"/>
                <w:rFonts w:ascii="Arial" w:eastAsia="Arial" w:hAnsi="Arial" w:cs="Arial"/>
                <w:color w:val="FFFFFF"/>
                <w:sz w:val="20"/>
                <w:szCs w:val="20"/>
              </w:rPr>
              <w:t>  /  </w:t>
            </w: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+44 75990 985081</w:t>
            </w:r>
          </w:p>
          <w:p w14:paraId="505C5158" w14:textId="77777777" w:rsidR="007F3150" w:rsidRDefault="00000000">
            <w:pPr>
              <w:pStyle w:val="addressdivnth-last-child1"/>
              <w:spacing w:after="400" w:line="260" w:lineRule="atLeast"/>
              <w:ind w:left="1180" w:right="200"/>
              <w:rPr>
                <w:rStyle w:val="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United Kingdom</w:t>
            </w:r>
            <w:r>
              <w:rPr>
                <w:rStyle w:val="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 w14:paraId="7EA1C77E" w14:textId="77777777" w:rsidR="007F3150" w:rsidRDefault="007F3150">
      <w:pPr>
        <w:rPr>
          <w:vanish/>
        </w:rPr>
        <w:sectPr w:rsidR="007F3150">
          <w:headerReference w:type="default" r:id="rId8"/>
          <w:footerReference w:type="default" r:id="rId9"/>
          <w:pgSz w:w="12240" w:h="15840"/>
          <w:pgMar w:top="0" w:right="700" w:bottom="600" w:left="0" w:header="0" w:footer="0" w:gutter="0"/>
          <w:cols w:space="720"/>
        </w:sectPr>
      </w:pPr>
    </w:p>
    <w:p w14:paraId="1F6F1826" w14:textId="77777777" w:rsidR="007F3150" w:rsidRDefault="007F3150">
      <w:pPr>
        <w:rPr>
          <w:vanish/>
        </w:rPr>
      </w:pPr>
    </w:p>
    <w:p w14:paraId="03FE3410" w14:textId="77777777" w:rsidR="007F3150" w:rsidRDefault="00000000">
      <w:pPr>
        <w:pStyle w:val="p"/>
        <w:spacing w:before="320"/>
        <w:rPr>
          <w:rFonts w:ascii="Arial" w:eastAsia="Arial" w:hAnsi="Arial" w:cs="Arial"/>
          <w:color w:val="303030"/>
          <w:sz w:val="20"/>
          <w:szCs w:val="20"/>
        </w:rPr>
      </w:pPr>
      <w:r>
        <w:rPr>
          <w:rStyle w:val="Strong1"/>
          <w:rFonts w:ascii="Arial" w:eastAsia="Arial" w:hAnsi="Arial" w:cs="Arial"/>
          <w:b/>
          <w:bCs/>
          <w:color w:val="303030"/>
          <w:sz w:val="20"/>
          <w:szCs w:val="20"/>
        </w:rPr>
        <w:t>SWOT Analysis</w:t>
      </w:r>
      <w:r>
        <w:rPr>
          <w:rStyle w:val="Strong1"/>
          <w:rFonts w:ascii="Arial" w:eastAsia="Arial" w:hAnsi="Arial" w:cs="Arial"/>
          <w:b/>
          <w:bCs/>
          <w:color w:val="303030"/>
          <w:sz w:val="20"/>
          <w:szCs w:val="20"/>
        </w:rPr>
        <w:br/>
      </w:r>
      <w:r>
        <w:rPr>
          <w:rStyle w:val="Strong1"/>
          <w:rFonts w:ascii="Arial" w:eastAsia="Arial" w:hAnsi="Arial" w:cs="Arial"/>
          <w:b/>
          <w:bCs/>
          <w:color w:val="303030"/>
          <w:sz w:val="20"/>
          <w:szCs w:val="20"/>
        </w:rPr>
        <w:br/>
      </w:r>
      <w:r>
        <w:rPr>
          <w:rStyle w:val="em"/>
          <w:rFonts w:ascii="Arial" w:eastAsia="Arial" w:hAnsi="Arial" w:cs="Arial"/>
          <w:i/>
          <w:iCs/>
          <w:color w:val="303030"/>
          <w:sz w:val="20"/>
          <w:szCs w:val="20"/>
        </w:rPr>
        <w:t xml:space="preserve">Commercial Benefits &amp; Incentives Leader | Client Portfolio Governance | Engagement &amp; Revenue </w:t>
      </w:r>
      <w:proofErr w:type="spellStart"/>
      <w:r>
        <w:rPr>
          <w:rStyle w:val="em"/>
          <w:rFonts w:ascii="Arial" w:eastAsia="Arial" w:hAnsi="Arial" w:cs="Arial"/>
          <w:i/>
          <w:iCs/>
          <w:color w:val="303030"/>
          <w:sz w:val="20"/>
          <w:szCs w:val="20"/>
        </w:rPr>
        <w:t>Optimisation</w:t>
      </w:r>
      <w:proofErr w:type="spellEnd"/>
    </w:p>
    <w:p w14:paraId="04FE771D" w14:textId="77777777" w:rsidR="00C13A0B" w:rsidRPr="00C13A0B" w:rsidRDefault="00C13A0B" w:rsidP="00C13A0B">
      <w:pPr>
        <w:pStyle w:val="p"/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STRENGTHS</w:t>
      </w:r>
    </w:p>
    <w:p w14:paraId="312C3C39" w14:textId="77777777" w:rsidR="00C13A0B" w:rsidRPr="00C13A0B" w:rsidRDefault="00C13A0B" w:rsidP="00C13A0B">
      <w:pPr>
        <w:pStyle w:val="p"/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Strategic Benefits &amp; Commercial Leadership</w:t>
      </w:r>
    </w:p>
    <w:p w14:paraId="090F2263" w14:textId="77777777" w:rsidR="00C13A0B" w:rsidRPr="00C13A0B" w:rsidRDefault="00C13A0B" w:rsidP="00C13A0B">
      <w:pPr>
        <w:pStyle w:val="p"/>
        <w:numPr>
          <w:ilvl w:val="0"/>
          <w:numId w:val="14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15+ years’ experience leading enterprise-level benefits &amp; incentives portfolios with measurable engagement and revenue growth.</w:t>
      </w:r>
    </w:p>
    <w:p w14:paraId="24A6F4FA" w14:textId="77777777" w:rsidR="00C13A0B" w:rsidRPr="00C13A0B" w:rsidRDefault="00C13A0B" w:rsidP="00C13A0B">
      <w:pPr>
        <w:pStyle w:val="p"/>
        <w:numPr>
          <w:ilvl w:val="0"/>
          <w:numId w:val="14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Delivered 3x increase in user engagement and spend across key benefit programs.</w:t>
      </w:r>
    </w:p>
    <w:p w14:paraId="3410D976" w14:textId="77777777" w:rsidR="00C13A0B" w:rsidRPr="00C13A0B" w:rsidRDefault="00C13A0B" w:rsidP="00C13A0B">
      <w:pPr>
        <w:pStyle w:val="p"/>
        <w:numPr>
          <w:ilvl w:val="0"/>
          <w:numId w:val="14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Consistently exceeded annual commercial performance targets.</w:t>
      </w:r>
    </w:p>
    <w:p w14:paraId="05735804" w14:textId="77777777" w:rsidR="00C13A0B" w:rsidRPr="00C13A0B" w:rsidRDefault="00C13A0B" w:rsidP="00C13A0B">
      <w:pPr>
        <w:pStyle w:val="p"/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Executive Stakeholder &amp; Portfolio Governance</w:t>
      </w:r>
    </w:p>
    <w:p w14:paraId="35044441" w14:textId="77777777" w:rsidR="00C13A0B" w:rsidRPr="00C13A0B" w:rsidRDefault="00C13A0B" w:rsidP="00C13A0B">
      <w:pPr>
        <w:pStyle w:val="p"/>
        <w:numPr>
          <w:ilvl w:val="0"/>
          <w:numId w:val="15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Trusted escalation lead managing senior HR, Finance, and Operations stakeholders.</w:t>
      </w:r>
    </w:p>
    <w:p w14:paraId="7FBB514B" w14:textId="77777777" w:rsidR="00C13A0B" w:rsidRPr="00C13A0B" w:rsidRDefault="00C13A0B" w:rsidP="00C13A0B">
      <w:pPr>
        <w:pStyle w:val="p"/>
        <w:numPr>
          <w:ilvl w:val="0"/>
          <w:numId w:val="15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Owns full client lifecycle: onboarding, adoption, renewal, expansion.</w:t>
      </w:r>
    </w:p>
    <w:p w14:paraId="502AA8B9" w14:textId="77777777" w:rsidR="00C13A0B" w:rsidRPr="00C13A0B" w:rsidRDefault="00C13A0B" w:rsidP="00C13A0B">
      <w:pPr>
        <w:pStyle w:val="p"/>
        <w:numPr>
          <w:ilvl w:val="0"/>
          <w:numId w:val="15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KPI-driven quarterly business reviews with structured performance reporting.</w:t>
      </w:r>
    </w:p>
    <w:p w14:paraId="0F97B26D" w14:textId="77777777" w:rsidR="00C13A0B" w:rsidRPr="00C13A0B" w:rsidRDefault="00C13A0B" w:rsidP="00C13A0B">
      <w:pPr>
        <w:pStyle w:val="p"/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Team Leadership &amp; Capability Development</w:t>
      </w:r>
    </w:p>
    <w:p w14:paraId="49A4C4AE" w14:textId="77777777" w:rsidR="00C13A0B" w:rsidRPr="00C13A0B" w:rsidRDefault="00C13A0B" w:rsidP="00C13A0B">
      <w:pPr>
        <w:pStyle w:val="p"/>
        <w:numPr>
          <w:ilvl w:val="0"/>
          <w:numId w:val="16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Direct leadership of Client Account Management function.</w:t>
      </w:r>
    </w:p>
    <w:p w14:paraId="511A332F" w14:textId="77777777" w:rsidR="00C13A0B" w:rsidRPr="00C13A0B" w:rsidRDefault="00C13A0B" w:rsidP="00C13A0B">
      <w:pPr>
        <w:pStyle w:val="p"/>
        <w:numPr>
          <w:ilvl w:val="0"/>
          <w:numId w:val="16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Structured onboarding frameworks and performance scorecards implemented.</w:t>
      </w:r>
    </w:p>
    <w:p w14:paraId="752A6218" w14:textId="77777777" w:rsidR="00C13A0B" w:rsidRPr="00C13A0B" w:rsidRDefault="00C13A0B" w:rsidP="00C13A0B">
      <w:pPr>
        <w:pStyle w:val="p"/>
        <w:numPr>
          <w:ilvl w:val="0"/>
          <w:numId w:val="16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40% internal promotion rate through coaching and succession planning.</w:t>
      </w:r>
    </w:p>
    <w:p w14:paraId="7602329E" w14:textId="77777777" w:rsidR="00C13A0B" w:rsidRPr="00C13A0B" w:rsidRDefault="00C13A0B" w:rsidP="00C13A0B">
      <w:pPr>
        <w:pStyle w:val="p"/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Operational Excellence &amp; Compliance Oversight</w:t>
      </w:r>
    </w:p>
    <w:p w14:paraId="4D5CD9FF" w14:textId="77777777" w:rsidR="00C13A0B" w:rsidRPr="00C13A0B" w:rsidRDefault="00C13A0B" w:rsidP="00C13A0B">
      <w:pPr>
        <w:pStyle w:val="p"/>
        <w:numPr>
          <w:ilvl w:val="0"/>
          <w:numId w:val="17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Governance of salary sacrifice schemes, regulatory compliance, and HMRC-aligned processes.</w:t>
      </w:r>
    </w:p>
    <w:p w14:paraId="7E23FC8D" w14:textId="77777777" w:rsidR="00C13A0B" w:rsidRPr="00C13A0B" w:rsidRDefault="00C13A0B" w:rsidP="00C13A0B">
      <w:pPr>
        <w:pStyle w:val="p"/>
        <w:numPr>
          <w:ilvl w:val="0"/>
          <w:numId w:val="17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Built automated communication and reporting frameworks to enhance ROI visibility and audit readiness.</w:t>
      </w:r>
    </w:p>
    <w:p w14:paraId="459CA329" w14:textId="77777777" w:rsidR="00C13A0B" w:rsidRPr="00C13A0B" w:rsidRDefault="00C13A0B" w:rsidP="00C13A0B">
      <w:pPr>
        <w:pStyle w:val="p"/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Data-Driven Commercial Decision Making</w:t>
      </w:r>
    </w:p>
    <w:p w14:paraId="252C3224" w14:textId="77777777" w:rsidR="00C13A0B" w:rsidRPr="00C13A0B" w:rsidRDefault="00C13A0B" w:rsidP="00C13A0B">
      <w:pPr>
        <w:pStyle w:val="p"/>
        <w:numPr>
          <w:ilvl w:val="0"/>
          <w:numId w:val="18"/>
        </w:numPr>
        <w:spacing w:before="160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Advanced CRM &amp; SQL-based reporting capability.</w:t>
      </w:r>
    </w:p>
    <w:p w14:paraId="2B8C452E" w14:textId="77777777" w:rsidR="00C13A0B" w:rsidRPr="00C13A0B" w:rsidRDefault="00C13A0B" w:rsidP="00C13A0B">
      <w:pPr>
        <w:pStyle w:val="p"/>
        <w:numPr>
          <w:ilvl w:val="0"/>
          <w:numId w:val="18"/>
        </w:numPr>
        <w:spacing w:before="160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 xml:space="preserve">Uses engagement analytics to inform pricing alignment, vendor strategy, and roadmap </w:t>
      </w:r>
      <w:proofErr w:type="spellStart"/>
      <w:r w:rsidRPr="00C13A0B">
        <w:rPr>
          <w:rFonts w:ascii="Arial" w:eastAsia="Arial" w:hAnsi="Arial" w:cs="Arial"/>
          <w:color w:val="303030"/>
          <w:sz w:val="20"/>
          <w:szCs w:val="20"/>
        </w:rPr>
        <w:t>prioritisation</w:t>
      </w:r>
      <w:proofErr w:type="spellEnd"/>
      <w:r w:rsidRPr="00C13A0B">
        <w:rPr>
          <w:rFonts w:ascii="Arial" w:eastAsia="Arial" w:hAnsi="Arial" w:cs="Arial"/>
          <w:color w:val="303030"/>
          <w:sz w:val="20"/>
          <w:szCs w:val="20"/>
        </w:rPr>
        <w:t>.</w:t>
      </w:r>
    </w:p>
    <w:p w14:paraId="38833706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</w:p>
    <w:p w14:paraId="5E619CA5" w14:textId="2CE3C181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WEAKNESSES</w:t>
      </w:r>
    </w:p>
    <w:p w14:paraId="3F30B761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</w:p>
    <w:p w14:paraId="61C34FAA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Executive Communication Processing Time</w:t>
      </w:r>
    </w:p>
    <w:p w14:paraId="704C8231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1CD411EA" w14:textId="77777777" w:rsidR="00C13A0B" w:rsidRDefault="00C13A0B" w:rsidP="00C13A0B">
      <w:pPr>
        <w:pStyle w:val="p"/>
        <w:numPr>
          <w:ilvl w:val="0"/>
          <w:numId w:val="19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Dyslexia requires structured review workflows for written documentation; mitigated through technology and compliance-led proofreading processes.</w:t>
      </w:r>
    </w:p>
    <w:p w14:paraId="221256CF" w14:textId="77777777" w:rsidR="00C13A0B" w:rsidRPr="00C13A0B" w:rsidRDefault="00C13A0B" w:rsidP="00C13A0B">
      <w:pPr>
        <w:pStyle w:val="p"/>
        <w:spacing w:line="90" w:lineRule="atLeast"/>
        <w:ind w:left="720"/>
        <w:rPr>
          <w:rFonts w:ascii="Arial" w:eastAsia="Arial" w:hAnsi="Arial" w:cs="Arial"/>
          <w:color w:val="303030"/>
          <w:sz w:val="20"/>
          <w:szCs w:val="20"/>
        </w:rPr>
      </w:pPr>
    </w:p>
    <w:p w14:paraId="0EBFF9BB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Developing External Thought Leadership Presence</w:t>
      </w:r>
    </w:p>
    <w:p w14:paraId="19E9806E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75DC257D" w14:textId="77777777" w:rsidR="00C13A0B" w:rsidRDefault="00C13A0B" w:rsidP="00C13A0B">
      <w:pPr>
        <w:pStyle w:val="p"/>
        <w:numPr>
          <w:ilvl w:val="0"/>
          <w:numId w:val="20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Expanding digital visibility and short-form executive content strategy to strengthen market positioning.</w:t>
      </w:r>
    </w:p>
    <w:p w14:paraId="26B970EB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7354A2B0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OPPORTUNITIES</w:t>
      </w:r>
    </w:p>
    <w:p w14:paraId="306DAA9E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</w:p>
    <w:p w14:paraId="10F22D68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Expansion into Broader Reward &amp; Compensation Strategy</w:t>
      </w:r>
    </w:p>
    <w:p w14:paraId="34B9C993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35C49ED0" w14:textId="77777777" w:rsidR="00C13A0B" w:rsidRPr="00C13A0B" w:rsidRDefault="00C13A0B" w:rsidP="00C13A0B">
      <w:pPr>
        <w:pStyle w:val="p"/>
        <w:numPr>
          <w:ilvl w:val="0"/>
          <w:numId w:val="21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Deepening expertise across wage advance, financial wellbeing, and private healthcare benefit verticals.</w:t>
      </w:r>
    </w:p>
    <w:p w14:paraId="530D5599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lastRenderedPageBreak/>
        <w:t>Advanced Commercial &amp; Predictive Analytics</w:t>
      </w:r>
    </w:p>
    <w:p w14:paraId="2BC49AAD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4199A5B9" w14:textId="77777777" w:rsidR="00C13A0B" w:rsidRDefault="00C13A0B" w:rsidP="00C13A0B">
      <w:pPr>
        <w:pStyle w:val="p"/>
        <w:numPr>
          <w:ilvl w:val="0"/>
          <w:numId w:val="22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Enhancing forecasting, ROI modelling, and predictive engagement analysis to support executive decision-making.</w:t>
      </w:r>
    </w:p>
    <w:p w14:paraId="6698012D" w14:textId="77777777" w:rsidR="00C13A0B" w:rsidRPr="00C13A0B" w:rsidRDefault="00C13A0B" w:rsidP="00C13A0B">
      <w:pPr>
        <w:pStyle w:val="p"/>
        <w:spacing w:line="90" w:lineRule="atLeast"/>
        <w:ind w:left="720"/>
        <w:rPr>
          <w:rFonts w:ascii="Arial" w:eastAsia="Arial" w:hAnsi="Arial" w:cs="Arial"/>
          <w:color w:val="303030"/>
          <w:sz w:val="20"/>
          <w:szCs w:val="20"/>
        </w:rPr>
      </w:pPr>
    </w:p>
    <w:p w14:paraId="3E778D90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Industry Representation &amp; Strategic Networking</w:t>
      </w:r>
    </w:p>
    <w:p w14:paraId="233FC325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0B7EA19C" w14:textId="77777777" w:rsidR="00C13A0B" w:rsidRPr="00C13A0B" w:rsidRDefault="00C13A0B" w:rsidP="00C13A0B">
      <w:pPr>
        <w:pStyle w:val="p"/>
        <w:numPr>
          <w:ilvl w:val="0"/>
          <w:numId w:val="23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Increased participation in HR, Reward, and Employee Engagement forums to drive market intelligence and enterprise growth opportunities.</w:t>
      </w:r>
    </w:p>
    <w:p w14:paraId="7BB0996D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6E5AF362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THREATS</w:t>
      </w:r>
    </w:p>
    <w:p w14:paraId="0287CAD9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</w:p>
    <w:p w14:paraId="3237FB3A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Regulatory &amp; Taxation Changes</w:t>
      </w:r>
    </w:p>
    <w:p w14:paraId="2405B555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28ADA707" w14:textId="6FC59548" w:rsidR="00C13A0B" w:rsidRDefault="00C13A0B" w:rsidP="00C13A0B">
      <w:pPr>
        <w:pStyle w:val="p"/>
        <w:numPr>
          <w:ilvl w:val="0"/>
          <w:numId w:val="24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NI, tax, or employment legislation shifts impacting salary sacrifice and benefits participation models</w:t>
      </w:r>
    </w:p>
    <w:p w14:paraId="62FF1B42" w14:textId="77777777" w:rsidR="00C13A0B" w:rsidRPr="00C13A0B" w:rsidRDefault="00C13A0B" w:rsidP="00C13A0B">
      <w:pPr>
        <w:pStyle w:val="p"/>
        <w:spacing w:line="90" w:lineRule="atLeast"/>
        <w:ind w:left="720"/>
        <w:rPr>
          <w:rFonts w:ascii="Arial" w:eastAsia="Arial" w:hAnsi="Arial" w:cs="Arial"/>
          <w:color w:val="303030"/>
          <w:sz w:val="20"/>
          <w:szCs w:val="20"/>
        </w:rPr>
      </w:pPr>
    </w:p>
    <w:p w14:paraId="28ED91E9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Macroeconomic Pressure on Employer Spend</w:t>
      </w:r>
    </w:p>
    <w:p w14:paraId="465EA759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3D034D5E" w14:textId="77777777" w:rsidR="00C13A0B" w:rsidRDefault="00C13A0B" w:rsidP="00C13A0B">
      <w:pPr>
        <w:pStyle w:val="p"/>
        <w:numPr>
          <w:ilvl w:val="0"/>
          <w:numId w:val="25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Budget constraints reducing discretionary investment in incentive programs.</w:t>
      </w:r>
    </w:p>
    <w:p w14:paraId="11C033BF" w14:textId="77777777" w:rsidR="00C13A0B" w:rsidRPr="00C13A0B" w:rsidRDefault="00C13A0B" w:rsidP="00C13A0B">
      <w:pPr>
        <w:pStyle w:val="p"/>
        <w:spacing w:line="90" w:lineRule="atLeast"/>
        <w:ind w:left="360"/>
        <w:rPr>
          <w:rFonts w:ascii="Arial" w:eastAsia="Arial" w:hAnsi="Arial" w:cs="Arial"/>
          <w:color w:val="303030"/>
          <w:sz w:val="20"/>
          <w:szCs w:val="20"/>
        </w:rPr>
      </w:pPr>
    </w:p>
    <w:p w14:paraId="42BBF20E" w14:textId="77777777" w:rsidR="00C13A0B" w:rsidRDefault="00C13A0B" w:rsidP="00C13A0B">
      <w:pPr>
        <w:pStyle w:val="p"/>
        <w:spacing w:line="90" w:lineRule="atLeast"/>
        <w:rPr>
          <w:rFonts w:ascii="Arial" w:eastAsia="Arial" w:hAnsi="Arial" w:cs="Arial"/>
          <w:b/>
          <w:bCs/>
          <w:color w:val="303030"/>
          <w:sz w:val="20"/>
          <w:szCs w:val="20"/>
        </w:rPr>
      </w:pPr>
      <w:r w:rsidRPr="00C13A0B">
        <w:rPr>
          <w:rFonts w:ascii="Arial" w:eastAsia="Arial" w:hAnsi="Arial" w:cs="Arial"/>
          <w:b/>
          <w:bCs/>
          <w:color w:val="303030"/>
          <w:sz w:val="20"/>
          <w:szCs w:val="20"/>
        </w:rPr>
        <w:t>Competitive Digital Benefits Landscape</w:t>
      </w:r>
    </w:p>
    <w:p w14:paraId="7D61CB29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3F41D3EF" w14:textId="77777777" w:rsidR="00C13A0B" w:rsidRPr="00C13A0B" w:rsidRDefault="00C13A0B" w:rsidP="00C13A0B">
      <w:pPr>
        <w:pStyle w:val="p"/>
        <w:numPr>
          <w:ilvl w:val="0"/>
          <w:numId w:val="26"/>
        </w:numPr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  <w:r w:rsidRPr="00C13A0B">
        <w:rPr>
          <w:rFonts w:ascii="Arial" w:eastAsia="Arial" w:hAnsi="Arial" w:cs="Arial"/>
          <w:color w:val="303030"/>
          <w:sz w:val="20"/>
          <w:szCs w:val="20"/>
        </w:rPr>
        <w:t>Rapid innovation and pricing competition within employee engagement platforms.</w:t>
      </w:r>
    </w:p>
    <w:p w14:paraId="5F174143" w14:textId="77777777" w:rsidR="00C13A0B" w:rsidRPr="00C13A0B" w:rsidRDefault="00C13A0B" w:rsidP="00C13A0B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p w14:paraId="2DE8D13F" w14:textId="77777777" w:rsidR="007F3150" w:rsidRPr="00C13A0B" w:rsidRDefault="007F3150">
      <w:pPr>
        <w:pStyle w:val="p"/>
        <w:spacing w:line="90" w:lineRule="atLeast"/>
        <w:rPr>
          <w:rFonts w:ascii="Arial" w:eastAsia="Arial" w:hAnsi="Arial" w:cs="Arial"/>
          <w:color w:val="303030"/>
          <w:sz w:val="20"/>
          <w:szCs w:val="20"/>
        </w:rPr>
      </w:pPr>
    </w:p>
    <w:sectPr w:rsidR="007F3150" w:rsidRPr="00C13A0B">
      <w:headerReference w:type="default" r:id="rId10"/>
      <w:footerReference w:type="default" r:id="rId11"/>
      <w:type w:val="continuous"/>
      <w:pgSz w:w="12240" w:h="15840"/>
      <w:pgMar w:top="600" w:right="700" w:bottom="60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A6EB" w14:textId="77777777" w:rsidR="00CC43B6" w:rsidRDefault="00CC43B6">
      <w:pPr>
        <w:spacing w:line="240" w:lineRule="auto"/>
      </w:pPr>
      <w:r>
        <w:separator/>
      </w:r>
    </w:p>
  </w:endnote>
  <w:endnote w:type="continuationSeparator" w:id="0">
    <w:p w14:paraId="75908A67" w14:textId="77777777" w:rsidR="00CC43B6" w:rsidRDefault="00CC4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EE43" w14:textId="77777777" w:rsidR="007F3150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9121" w14:textId="77777777" w:rsidR="007F3150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F001A" w14:textId="77777777" w:rsidR="00CC43B6" w:rsidRDefault="00CC43B6">
      <w:pPr>
        <w:spacing w:line="240" w:lineRule="auto"/>
      </w:pPr>
      <w:r>
        <w:separator/>
      </w:r>
    </w:p>
  </w:footnote>
  <w:footnote w:type="continuationSeparator" w:id="0">
    <w:p w14:paraId="483FE0CB" w14:textId="77777777" w:rsidR="00CC43B6" w:rsidRDefault="00CC43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CCF44" w14:textId="77777777" w:rsidR="007F3150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18AF" w14:textId="77777777" w:rsidR="007F3150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864"/>
    <w:multiLevelType w:val="multilevel"/>
    <w:tmpl w:val="E31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168"/>
    <w:multiLevelType w:val="multilevel"/>
    <w:tmpl w:val="EA5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96A1D"/>
    <w:multiLevelType w:val="multilevel"/>
    <w:tmpl w:val="75F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17738"/>
    <w:multiLevelType w:val="multilevel"/>
    <w:tmpl w:val="C32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4AD3"/>
    <w:multiLevelType w:val="multilevel"/>
    <w:tmpl w:val="72F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2901"/>
    <w:multiLevelType w:val="multilevel"/>
    <w:tmpl w:val="930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14394"/>
    <w:multiLevelType w:val="multilevel"/>
    <w:tmpl w:val="687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F3B33"/>
    <w:multiLevelType w:val="multilevel"/>
    <w:tmpl w:val="A21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7408"/>
    <w:multiLevelType w:val="multilevel"/>
    <w:tmpl w:val="509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806E5"/>
    <w:multiLevelType w:val="multilevel"/>
    <w:tmpl w:val="59D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D52D6"/>
    <w:multiLevelType w:val="multilevel"/>
    <w:tmpl w:val="3B72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3BFC"/>
    <w:multiLevelType w:val="multilevel"/>
    <w:tmpl w:val="EE7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30194"/>
    <w:multiLevelType w:val="multilevel"/>
    <w:tmpl w:val="5FC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81A50"/>
    <w:multiLevelType w:val="multilevel"/>
    <w:tmpl w:val="517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660C5"/>
    <w:multiLevelType w:val="multilevel"/>
    <w:tmpl w:val="3F2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32C53"/>
    <w:multiLevelType w:val="multilevel"/>
    <w:tmpl w:val="55D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1372C"/>
    <w:multiLevelType w:val="multilevel"/>
    <w:tmpl w:val="A90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81ACE"/>
    <w:multiLevelType w:val="multilevel"/>
    <w:tmpl w:val="F22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91E46"/>
    <w:multiLevelType w:val="multilevel"/>
    <w:tmpl w:val="366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E3C54"/>
    <w:multiLevelType w:val="multilevel"/>
    <w:tmpl w:val="695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D003B"/>
    <w:multiLevelType w:val="multilevel"/>
    <w:tmpl w:val="EC2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A17AD"/>
    <w:multiLevelType w:val="multilevel"/>
    <w:tmpl w:val="F35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84EC7"/>
    <w:multiLevelType w:val="multilevel"/>
    <w:tmpl w:val="BA8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656D2"/>
    <w:multiLevelType w:val="multilevel"/>
    <w:tmpl w:val="FA6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0782F"/>
    <w:multiLevelType w:val="multilevel"/>
    <w:tmpl w:val="D5F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81C93"/>
    <w:multiLevelType w:val="multilevel"/>
    <w:tmpl w:val="BF4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39285">
    <w:abstractNumId w:val="19"/>
  </w:num>
  <w:num w:numId="2" w16cid:durableId="523707911">
    <w:abstractNumId w:val="16"/>
  </w:num>
  <w:num w:numId="3" w16cid:durableId="1465345938">
    <w:abstractNumId w:val="0"/>
  </w:num>
  <w:num w:numId="4" w16cid:durableId="1264723053">
    <w:abstractNumId w:val="1"/>
  </w:num>
  <w:num w:numId="5" w16cid:durableId="1954173020">
    <w:abstractNumId w:val="5"/>
  </w:num>
  <w:num w:numId="6" w16cid:durableId="1041594055">
    <w:abstractNumId w:val="9"/>
  </w:num>
  <w:num w:numId="7" w16cid:durableId="1254054004">
    <w:abstractNumId w:val="25"/>
  </w:num>
  <w:num w:numId="8" w16cid:durableId="1395545672">
    <w:abstractNumId w:val="10"/>
  </w:num>
  <w:num w:numId="9" w16cid:durableId="255748348">
    <w:abstractNumId w:val="17"/>
  </w:num>
  <w:num w:numId="10" w16cid:durableId="480076083">
    <w:abstractNumId w:val="18"/>
  </w:num>
  <w:num w:numId="11" w16cid:durableId="1060904038">
    <w:abstractNumId w:val="11"/>
  </w:num>
  <w:num w:numId="12" w16cid:durableId="531378149">
    <w:abstractNumId w:val="15"/>
  </w:num>
  <w:num w:numId="13" w16cid:durableId="1524325751">
    <w:abstractNumId w:val="3"/>
  </w:num>
  <w:num w:numId="14" w16cid:durableId="1885484886">
    <w:abstractNumId w:val="22"/>
  </w:num>
  <w:num w:numId="15" w16cid:durableId="587427463">
    <w:abstractNumId w:val="12"/>
  </w:num>
  <w:num w:numId="16" w16cid:durableId="1717390851">
    <w:abstractNumId w:val="23"/>
  </w:num>
  <w:num w:numId="17" w16cid:durableId="186724352">
    <w:abstractNumId w:val="4"/>
  </w:num>
  <w:num w:numId="18" w16cid:durableId="755637274">
    <w:abstractNumId w:val="8"/>
  </w:num>
  <w:num w:numId="19" w16cid:durableId="1016034896">
    <w:abstractNumId w:val="7"/>
  </w:num>
  <w:num w:numId="20" w16cid:durableId="54133078">
    <w:abstractNumId w:val="13"/>
  </w:num>
  <w:num w:numId="21" w16cid:durableId="656497076">
    <w:abstractNumId w:val="14"/>
  </w:num>
  <w:num w:numId="22" w16cid:durableId="829978135">
    <w:abstractNumId w:val="2"/>
  </w:num>
  <w:num w:numId="23" w16cid:durableId="1853030796">
    <w:abstractNumId w:val="6"/>
  </w:num>
  <w:num w:numId="24" w16cid:durableId="783110268">
    <w:abstractNumId w:val="24"/>
  </w:num>
  <w:num w:numId="25" w16cid:durableId="121653809">
    <w:abstractNumId w:val="20"/>
  </w:num>
  <w:num w:numId="26" w16cid:durableId="18921852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3150"/>
    <w:rsid w:val="002D203D"/>
    <w:rsid w:val="007F3150"/>
    <w:rsid w:val="00C13A0B"/>
    <w:rsid w:val="00CC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EDF3"/>
  <w15:docId w15:val="{4570801C-C88B-4653-86B5-F2831C62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ocument">
    <w:name w:val="document"/>
    <w:basedOn w:val="Normal"/>
    <w:rPr>
      <w:color w:val="303030"/>
    </w:rPr>
  </w:style>
  <w:style w:type="paragraph" w:customStyle="1" w:styleId="namesec">
    <w:name w:val="namesec"/>
    <w:basedOn w:val="Normal"/>
    <w:pPr>
      <w:pBdr>
        <w:left w:val="none" w:sz="0" w:space="31" w:color="auto"/>
        <w:bottom w:val="none" w:sz="0" w:space="2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PARAGRAPHNAMEdiv">
    <w:name w:val="PARAGRAPH_NAME &gt; div"/>
    <w:basedOn w:val="DefaultParagraphFont"/>
    <w:rPr>
      <w:shd w:val="clear" w:color="auto" w:fill="434D54"/>
    </w:rPr>
  </w:style>
  <w:style w:type="paragraph" w:customStyle="1" w:styleId="namediv">
    <w:name w:val="name &gt; div"/>
    <w:basedOn w:val="Normal"/>
  </w:style>
  <w:style w:type="character" w:customStyle="1" w:styleId="namedivCharacter">
    <w:name w:val="name &gt; div Character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PARAGRAPHNAME">
    <w:name w:val="PARAGRAPH_NAME"/>
    <w:basedOn w:val="TableNormal"/>
    <w:tblPr/>
  </w:style>
  <w:style w:type="paragraph" w:customStyle="1" w:styleId="SECTIONCNTC">
    <w:name w:val="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PARAGRAPHCNTCdiv">
    <w:name w:val="PARAGRAPH_CNTC &gt; div"/>
    <w:basedOn w:val="DefaultParagraphFont"/>
    <w:rPr>
      <w:shd w:val="clear" w:color="auto" w:fill="434D54"/>
    </w:rPr>
  </w:style>
  <w:style w:type="paragraph" w:customStyle="1" w:styleId="addressdivnth-child1">
    <w:name w:val="address &gt; div_nth-child(1)"/>
    <w:basedOn w:val="Normal"/>
  </w:style>
  <w:style w:type="character" w:customStyle="1" w:styleId="addresssprtr">
    <w:name w:val="address_sprtr"/>
    <w:basedOn w:val="DefaultParagraphFont"/>
  </w:style>
  <w:style w:type="character" w:customStyle="1" w:styleId="addressdivnth-child1Character">
    <w:name w:val="address &gt; div_nth-child(1) Character"/>
    <w:basedOn w:val="DefaultParagraphFont"/>
  </w:style>
  <w:style w:type="paragraph" w:customStyle="1" w:styleId="addressdivnth-last-child1">
    <w:name w:val="address &gt; div_nth-last-child(1)"/>
    <w:basedOn w:val="Normal"/>
  </w:style>
  <w:style w:type="character" w:customStyle="1" w:styleId="addressdivnth-last-child1Character">
    <w:name w:val="address &gt; div_nth-last-child(1) Character"/>
    <w:basedOn w:val="DefaultParagraphFont"/>
  </w:style>
  <w:style w:type="table" w:customStyle="1" w:styleId="PARAGRAPHCNTC">
    <w:name w:val="PARAGRAPH_CNTC"/>
    <w:basedOn w:val="TableNormal"/>
    <w:tblPr/>
  </w:style>
  <w:style w:type="paragraph" w:customStyle="1" w:styleId="cntcsecsection">
    <w:name w:val="cntcsec + section"/>
    <w:basedOn w:val="Normal"/>
  </w:style>
  <w:style w:type="paragraph" w:customStyle="1" w:styleId="div">
    <w:name w:val="div"/>
    <w:basedOn w:val="Normal"/>
  </w:style>
  <w:style w:type="paragraph" w:customStyle="1" w:styleId="singlecolumn">
    <w:name w:val="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  <w:style w:type="paragraph" w:customStyle="1" w:styleId="section">
    <w:name w:val="section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AMY DIXON</dc:title>
  <cp:lastModifiedBy>Bibi Tayo</cp:lastModifiedBy>
  <cp:revision>1</cp:revision>
  <dcterms:created xsi:type="dcterms:W3CDTF">2026-03-02T15:57:00Z</dcterms:created>
  <dcterms:modified xsi:type="dcterms:W3CDTF">2026-03-02T16:10:00Z</dcterms:modified>
</cp:coreProperties>
</file>