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48"/>
        </w:rPr>
        <w:t>Metro Traffic Flow Prediction System</w:t>
      </w:r>
    </w:p>
    <w:p>
      <w:pPr>
        <w:jc w:val="center"/>
      </w:pPr>
      <w:r>
        <w:rPr>
          <w:i/>
          <w:color w:val="595959"/>
          <w:sz w:val="26"/>
        </w:rPr>
        <w:t>Machine Learning Project Final Review &amp; Technical Report</w:t>
        <w:br/>
        <w:t>Course Project Submission | September 2026</w:t>
      </w:r>
    </w:p>
    <w:p/>
    <w:p>
      <w:pPr>
        <w:spacing w:before="280" w:after="80"/>
      </w:pPr>
      <w:r>
        <w:rPr>
          <w:rFonts w:ascii="Calibri" w:hAnsi="Calibri"/>
          <w:b/>
          <w:color w:val="1F4E79"/>
          <w:sz w:val="32"/>
        </w:rPr>
        <w:t>1. Dataset Description</w:t>
      </w:r>
    </w:p>
    <w:p>
      <w:r>
        <w:t>The project utilizes the Metro Traffic Flow Operational Dataset to train and evaluate supervised learning models for continuous traffic flow prediction.</w:t>
      </w:r>
    </w:p>
    <w:p>
      <w:pPr>
        <w:pStyle w:val="ListBullet"/>
        <w:spacing w:after="40"/>
      </w:pPr>
      <w:r>
        <w:rPr>
          <w:b/>
        </w:rPr>
        <w:t xml:space="preserve">Dataset Name &amp; Source: </w:t>
      </w:r>
      <w:r>
        <w:t>data/raw/metro_traffic_dataset_10000.csv (curated transit analytics)</w:t>
      </w:r>
    </w:p>
    <w:p>
      <w:pPr>
        <w:pStyle w:val="ListBullet"/>
        <w:spacing w:after="40"/>
      </w:pPr>
      <w:r>
        <w:rPr>
          <w:b/>
        </w:rPr>
        <w:t xml:space="preserve">Dataset Dimensions: </w:t>
      </w:r>
      <w:r>
        <w:t>10,000 records, 30 features (1 timestamp, 1 target, 28 predictive features)</w:t>
      </w:r>
    </w:p>
    <w:p>
      <w:pPr>
        <w:pStyle w:val="ListBullet"/>
        <w:spacing w:after="40"/>
      </w:pPr>
      <w:r>
        <w:rPr>
          <w:b/>
        </w:rPr>
        <w:t xml:space="preserve">Feature Schema: </w:t>
      </w:r>
      <w:r>
        <w:t>Station_ID, Line_ID, Train_ID, Hour, Day_of_Week, Weekend_Flag, Holiday_Flag, Special_Event_Flag, Peak_Hour_Flag, Passenger_Count, Boardings, Alightings, Ticket_Entries, Ticket_Exits, Train_Frequency, Dwell_Time, Headway, Speed, Occupancy, Platform_Density, Weather, Delays, Energy.</w:t>
      </w:r>
    </w:p>
    <w:p>
      <w:pPr>
        <w:pStyle w:val="ListBullet"/>
        <w:spacing w:after="40"/>
      </w:pPr>
      <w:r>
        <w:rPr>
          <w:b/>
        </w:rPr>
        <w:t xml:space="preserve">Target Variable: </w:t>
      </w:r>
      <w:r>
        <w:t>Traffic_Flow_Target (Continuous numerical traffic volume; Mean = 252.66, Std = 87.08, Min = 45.19, Max = 536.14).</w:t>
      </w:r>
    </w:p>
    <w:p>
      <w:pPr>
        <w:pStyle w:val="ListBullet"/>
        <w:spacing w:after="40"/>
      </w:pPr>
      <w:r>
        <w:rPr>
          <w:b/>
        </w:rPr>
        <w:t xml:space="preserve">Class Distribution: </w:t>
      </w:r>
      <w:r>
        <w:t>Continuous regression problem. Target exhibits continuous bimodal/right-skewed distribution characteristic of peak-hour transit demand.</w:t>
      </w:r>
    </w:p>
    <w:p>
      <w:pPr>
        <w:spacing w:before="280" w:after="80"/>
      </w:pPr>
      <w:r>
        <w:rPr>
          <w:rFonts w:ascii="Calibri" w:hAnsi="Calibri"/>
          <w:b/>
          <w:color w:val="1F4E79"/>
          <w:sz w:val="32"/>
        </w:rPr>
        <w:t>2. Data Preprocessing Results</w:t>
      </w:r>
    </w:p>
    <w:p>
      <w:pPr>
        <w:pStyle w:val="ListBullet"/>
        <w:spacing w:after="40"/>
      </w:pPr>
      <w:r>
        <w:rPr>
          <w:b/>
        </w:rPr>
        <w:t xml:space="preserve">Initial Dataset Shape: </w:t>
      </w:r>
      <w:r>
        <w:t>(10000, 30)</w:t>
      </w:r>
    </w:p>
    <w:p>
      <w:pPr>
        <w:pStyle w:val="ListBullet"/>
        <w:spacing w:after="40"/>
      </w:pPr>
      <w:r>
        <w:rPr>
          <w:b/>
        </w:rPr>
        <w:t xml:space="preserve">Missing-Value Analysis: </w:t>
      </w:r>
      <w:r>
        <w:t>0 missing values across all features; median imputation policy configured.</w:t>
      </w:r>
    </w:p>
    <w:p>
      <w:pPr>
        <w:pStyle w:val="ListBullet"/>
        <w:spacing w:after="40"/>
      </w:pPr>
      <w:r>
        <w:rPr>
          <w:b/>
        </w:rPr>
        <w:t xml:space="preserve">Duplicate Analysis: </w:t>
      </w:r>
      <w:r>
        <w:t>0 duplicate records detected.</w:t>
      </w:r>
    </w:p>
    <w:p>
      <w:pPr>
        <w:pStyle w:val="ListBullet"/>
        <w:spacing w:after="40"/>
      </w:pPr>
      <w:r>
        <w:rPr>
          <w:b/>
        </w:rPr>
        <w:t xml:space="preserve">Feature Scaling: </w:t>
      </w:r>
      <w:r>
        <w:t>StandardScaler applied inside scikit-learn pipeline.</w:t>
      </w:r>
    </w:p>
    <w:p>
      <w:pPr>
        <w:pStyle w:val="ListBullet"/>
        <w:spacing w:after="40"/>
      </w:pPr>
      <w:r>
        <w:rPr>
          <w:b/>
        </w:rPr>
        <w:t xml:space="preserve">Final Preprocessed Shape: </w:t>
      </w:r>
      <w:r>
        <w:t>X_train (8000, 28), X_test (2000, 28) following an 80:20 split.</w:t>
      </w:r>
    </w:p>
    <w:p>
      <w:pPr>
        <w:pStyle w:val="ListBullet"/>
        <w:spacing w:after="40"/>
      </w:pPr>
      <w:r>
        <w:rPr>
          <w:b/>
        </w:rPr>
        <w:t xml:space="preserve">Zero Data Leakage Proof: </w:t>
      </w:r>
      <w:r>
        <w:t>Train-test split was executed strictly prior to fitting the scaler. Verification confirms test set mean != 0 and std != 1, demonstrating zero data leakage.</w:t>
      </w:r>
    </w:p>
    <w:p>
      <w:pPr>
        <w:spacing w:before="280" w:after="80"/>
      </w:pPr>
      <w:r>
        <w:rPr>
          <w:rFonts w:ascii="Calibri" w:hAnsi="Calibri"/>
          <w:b/>
          <w:color w:val="1F4E79"/>
          <w:sz w:val="32"/>
        </w:rPr>
        <w:t>3. Exploratory Data Analysis (EDA)</w:t>
      </w:r>
    </w:p>
    <w:p>
      <w:r>
        <w:t>Exploratory analysis revealed core patterns governing metro demand:</w:t>
      </w:r>
    </w:p>
    <w:p>
      <w:pPr>
        <w:pStyle w:val="ListBullet"/>
        <w:spacing w:after="40"/>
      </w:pPr>
      <w:r>
        <w:rPr>
          <w:b/>
        </w:rPr>
        <w:t xml:space="preserve">Strongest Predictors: </w:t>
      </w:r>
      <w:r>
        <w:t>Passenger_Count (+0.9105), Boardings (+0.8616), Peak_Hour_Flag (+0.8527), and Occupancy_Rate (+0.8456).</w:t>
      </w:r>
    </w:p>
    <w:p>
      <w:pPr>
        <w:pStyle w:val="ListBullet"/>
        <w:spacing w:after="40"/>
      </w:pPr>
      <w:r>
        <w:rPr>
          <w:b/>
        </w:rPr>
        <w:t xml:space="preserve">Hourly Transit Rhythm: </w:t>
      </w:r>
      <w:r>
        <w:t>Clear dual peaks at 07:00-09:30 AM and 17:00-19:30 PM.</w:t>
      </w:r>
    </w:p>
    <w:p>
      <w:pPr>
        <w:pStyle w:val="ListBullet"/>
        <w:spacing w:after="40"/>
      </w:pPr>
      <w:r>
        <w:rPr>
          <w:b/>
        </w:rPr>
        <w:t xml:space="preserve">Weekly Patterns: </w:t>
      </w:r>
      <w:r>
        <w:t>Weekday demand averages 25% higher than weekends.</w:t>
      </w:r>
    </w:p>
    <w:p>
      <w:pPr>
        <w:spacing w:before="280" w:after="80"/>
      </w:pPr>
      <w:r>
        <w:rPr>
          <w:rFonts w:ascii="Calibri" w:hAnsi="Calibri"/>
          <w:b/>
          <w:color w:val="1F4E79"/>
          <w:sz w:val="32"/>
        </w:rPr>
        <w:t>4. Feature Engineering and Selection</w:t>
      </w:r>
    </w:p>
    <w:p>
      <w:pPr>
        <w:pStyle w:val="ListBullet"/>
        <w:spacing w:after="40"/>
      </w:pPr>
      <w:r>
        <w:rPr>
          <w:b/>
        </w:rPr>
        <w:t xml:space="preserve">New Engineered Features: </w:t>
      </w:r>
      <w:r>
        <w:t>Rush_Hour_Multiplier, Net_Passenger_Flow, Total_Turnover, Congestion_Pressure, and Weather_Severity_Index.</w:t>
      </w:r>
    </w:p>
    <w:p>
      <w:pPr>
        <w:pStyle w:val="ListBullet"/>
        <w:spacing w:after="40"/>
      </w:pPr>
      <w:r>
        <w:rPr>
          <w:b/>
        </w:rPr>
        <w:t xml:space="preserve">Selection Rationale: </w:t>
      </w:r>
      <w:r>
        <w:t>Mutual information and Random Forest feature importance confirmed high predictive utility of passenger metrics; non-predictive Timestamp string was eliminated.</w:t>
      </w:r>
    </w:p>
    <w:p>
      <w:pPr>
        <w:pStyle w:val="ListBullet"/>
        <w:spacing w:after="40"/>
      </w:pPr>
      <w:r>
        <w:rPr>
          <w:b/>
        </w:rPr>
        <w:t xml:space="preserve">Final Modeling Feature List: </w:t>
      </w:r>
      <w:r>
        <w:t>28 operational, spatial, temporal, and weather features.</w:t>
      </w:r>
    </w:p>
    <w:p>
      <w:pPr>
        <w:spacing w:before="280" w:after="80"/>
      </w:pPr>
      <w:r>
        <w:rPr>
          <w:rFonts w:ascii="Calibri" w:hAnsi="Calibri"/>
          <w:b/>
          <w:color w:val="1F4E79"/>
          <w:sz w:val="32"/>
        </w:rPr>
        <w:t>5. Model Building, Training &amp; Hyperparameter Tuning</w:t>
      </w:r>
    </w:p>
    <w:p>
      <w:r>
        <w:t>Seven distinct machine learning regressors were trained, cross-validated, and optimized via RandomizedSearchCV:</w:t>
      </w:r>
    </w:p>
    <w:p>
      <w:pPr>
        <w:pStyle w:val="ListBullet"/>
        <w:spacing w:after="40"/>
      </w:pPr>
      <w:r>
        <w:rPr>
          <w:b/>
        </w:rPr>
        <w:t xml:space="preserve">Models Implemented: </w:t>
      </w:r>
      <w:r>
        <w:t>DecisionTree, RandomForest, XGBoost, and Stacking HybridEnsemble (RF + XGBoost with Ridge blender).</w:t>
      </w:r>
    </w:p>
    <w:p>
      <w:pPr>
        <w:pStyle w:val="ListBullet"/>
        <w:spacing w:after="40"/>
      </w:pPr>
      <w:r>
        <w:rPr>
          <w:b/>
        </w:rPr>
        <w:t xml:space="preserve">Cross-Validation: </w:t>
      </w:r>
      <w:r>
        <w:t>5-fold cross-validation confirmed robust generalization with CV R² exceeding 0.911.</w:t>
      </w:r>
    </w:p>
    <w:p>
      <w:pPr>
        <w:pStyle w:val="ListBullet"/>
        <w:spacing w:after="40"/>
      </w:pPr>
      <w:r>
        <w:rPr>
          <w:b/>
        </w:rPr>
        <w:t xml:space="preserve">Hyperparameter Tuning: </w:t>
      </w:r>
      <w:r>
        <w:t>Tuning restricted depth and optimized subsampling, reducing test RMSE to 25.98.</w:t>
      </w:r>
    </w:p>
    <w:p>
      <w:pPr>
        <w:spacing w:before="280" w:after="80"/>
      </w:pPr>
      <w:r>
        <w:rPr>
          <w:rFonts w:ascii="Calibri" w:hAnsi="Calibri"/>
          <w:b/>
          <w:color w:val="1F4E79"/>
          <w:sz w:val="32"/>
        </w:rPr>
        <w:t>6. Model Evaluation and Comparison</w:t>
      </w:r>
    </w:p>
    <w:p>
      <w:r>
        <w:t>Below is the master performance comparison across all evaluated models on the 2,000 held-out test instances: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Model Name</w:t>
            </w:r>
          </w:p>
        </w:tc>
        <w:tc>
          <w:tcPr>
            <w:tcW w:type="dxa" w:w="1872"/>
            <w:shd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MAE</w:t>
            </w:r>
          </w:p>
        </w:tc>
        <w:tc>
          <w:tcPr>
            <w:tcW w:type="dxa" w:w="1872"/>
            <w:shd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MSE</w:t>
            </w:r>
          </w:p>
        </w:tc>
        <w:tc>
          <w:tcPr>
            <w:tcW w:type="dxa" w:w="1872"/>
            <w:shd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RMSE</w:t>
            </w:r>
          </w:p>
        </w:tc>
        <w:tc>
          <w:tcPr>
            <w:tcW w:type="dxa" w:w="1872"/>
            <w:shd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R² Score</w:t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after="40" w:before="40"/>
            </w:pPr>
            <w:r>
              <w:t>Linear Regression</w:t>
            </w:r>
          </w:p>
        </w:tc>
        <w:tc>
          <w:tcPr>
            <w:tcW w:type="dxa" w:w="1872"/>
            <w:shd w:fill="F2F2F2"/>
          </w:tcPr>
          <w:p>
            <w:pPr>
              <w:spacing w:after="40" w:before="40"/>
            </w:pPr>
            <w:r>
              <w:t>20.402</w:t>
            </w:r>
          </w:p>
        </w:tc>
        <w:tc>
          <w:tcPr>
            <w:tcW w:type="dxa" w:w="1872"/>
            <w:shd w:fill="F2F2F2"/>
          </w:tcPr>
          <w:p>
            <w:pPr>
              <w:spacing w:after="40" w:before="40"/>
            </w:pPr>
            <w:r>
              <w:t>645.061</w:t>
            </w:r>
          </w:p>
        </w:tc>
        <w:tc>
          <w:tcPr>
            <w:tcW w:type="dxa" w:w="1872"/>
            <w:shd w:fill="F2F2F2"/>
          </w:tcPr>
          <w:p>
            <w:pPr>
              <w:spacing w:after="40" w:before="40"/>
            </w:pPr>
            <w:r>
              <w:t>25.398</w:t>
            </w:r>
          </w:p>
        </w:tc>
        <w:tc>
          <w:tcPr>
            <w:tcW w:type="dxa" w:w="1872"/>
            <w:shd w:fill="F2F2F2"/>
          </w:tcPr>
          <w:p>
            <w:pPr>
              <w:spacing w:after="40" w:before="40"/>
            </w:pPr>
            <w:r>
              <w:t>0.9157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t>Ridge Regression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t>20.402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t>645.066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t>25.398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t>0.9157</w:t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after="40" w:before="40"/>
            </w:pPr>
            <w:r>
              <w:t>Hybrid Ensemble</w:t>
            </w:r>
          </w:p>
        </w:tc>
        <w:tc>
          <w:tcPr>
            <w:tcW w:type="dxa" w:w="1872"/>
            <w:shd w:fill="F2F2F2"/>
          </w:tcPr>
          <w:p>
            <w:pPr>
              <w:spacing w:after="40" w:before="40"/>
            </w:pPr>
            <w:r>
              <w:t>20.812</w:t>
            </w:r>
          </w:p>
        </w:tc>
        <w:tc>
          <w:tcPr>
            <w:tcW w:type="dxa" w:w="1872"/>
            <w:shd w:fill="F2F2F2"/>
          </w:tcPr>
          <w:p>
            <w:pPr>
              <w:spacing w:after="40" w:before="40"/>
            </w:pPr>
            <w:r>
              <w:t>672.542</w:t>
            </w:r>
          </w:p>
        </w:tc>
        <w:tc>
          <w:tcPr>
            <w:tcW w:type="dxa" w:w="1872"/>
            <w:shd w:fill="F2F2F2"/>
          </w:tcPr>
          <w:p>
            <w:pPr>
              <w:spacing w:after="40" w:before="40"/>
            </w:pPr>
            <w:r>
              <w:t>25.933</w:t>
            </w:r>
          </w:p>
        </w:tc>
        <w:tc>
          <w:tcPr>
            <w:tcW w:type="dxa" w:w="1872"/>
            <w:shd w:fill="F2F2F2"/>
          </w:tcPr>
          <w:p>
            <w:pPr>
              <w:spacing w:after="40" w:before="40"/>
            </w:pPr>
            <w:r>
              <w:t>0.9122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t>XGBoost Regressor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t>20.815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t>674.925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t>25.979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t>0.9118</w:t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after="40" w:before="40"/>
            </w:pPr>
            <w:r>
              <w:t>Random Forest</w:t>
            </w:r>
          </w:p>
        </w:tc>
        <w:tc>
          <w:tcPr>
            <w:tcW w:type="dxa" w:w="1872"/>
            <w:shd w:fill="F2F2F2"/>
          </w:tcPr>
          <w:p>
            <w:pPr>
              <w:spacing w:after="40" w:before="40"/>
            </w:pPr>
            <w:r>
              <w:t>21.491</w:t>
            </w:r>
          </w:p>
        </w:tc>
        <w:tc>
          <w:tcPr>
            <w:tcW w:type="dxa" w:w="1872"/>
            <w:shd w:fill="F2F2F2"/>
          </w:tcPr>
          <w:p>
            <w:pPr>
              <w:spacing w:after="40" w:before="40"/>
            </w:pPr>
            <w:r>
              <w:t>717.251</w:t>
            </w:r>
          </w:p>
        </w:tc>
        <w:tc>
          <w:tcPr>
            <w:tcW w:type="dxa" w:w="1872"/>
            <w:shd w:fill="F2F2F2"/>
          </w:tcPr>
          <w:p>
            <w:pPr>
              <w:spacing w:after="40" w:before="40"/>
            </w:pPr>
            <w:r>
              <w:t>26.782</w:t>
            </w:r>
          </w:p>
        </w:tc>
        <w:tc>
          <w:tcPr>
            <w:tcW w:type="dxa" w:w="1872"/>
            <w:shd w:fill="F2F2F2"/>
          </w:tcPr>
          <w:p>
            <w:pPr>
              <w:spacing w:after="40" w:before="40"/>
            </w:pPr>
            <w:r>
              <w:t>0.9063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t>Decision Tree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t>27.700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t>1213.784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t>34.839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t>0.8415</w:t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after="40" w:before="40"/>
            </w:pPr>
            <w:r>
              <w:t>Dummy Regressor</w:t>
            </w:r>
          </w:p>
        </w:tc>
        <w:tc>
          <w:tcPr>
            <w:tcW w:type="dxa" w:w="1872"/>
            <w:shd w:fill="F2F2F2"/>
          </w:tcPr>
          <w:p>
            <w:pPr>
              <w:spacing w:after="40" w:before="40"/>
            </w:pPr>
            <w:r>
              <w:t>71.463</w:t>
            </w:r>
          </w:p>
        </w:tc>
        <w:tc>
          <w:tcPr>
            <w:tcW w:type="dxa" w:w="1872"/>
            <w:shd w:fill="F2F2F2"/>
          </w:tcPr>
          <w:p>
            <w:pPr>
              <w:spacing w:after="40" w:before="40"/>
            </w:pPr>
            <w:r>
              <w:t>7656.386</w:t>
            </w:r>
          </w:p>
        </w:tc>
        <w:tc>
          <w:tcPr>
            <w:tcW w:type="dxa" w:w="1872"/>
            <w:shd w:fill="F2F2F2"/>
          </w:tcPr>
          <w:p>
            <w:pPr>
              <w:spacing w:after="40" w:before="40"/>
            </w:pPr>
            <w:r>
              <w:t>87.501</w:t>
            </w:r>
          </w:p>
        </w:tc>
        <w:tc>
          <w:tcPr>
            <w:tcW w:type="dxa" w:w="1872"/>
            <w:shd w:fill="F2F2F2"/>
          </w:tcPr>
          <w:p>
            <w:pPr>
              <w:spacing w:after="40" w:before="40"/>
            </w:pPr>
            <w:r>
              <w:t>-0.0000</w:t>
            </w:r>
          </w:p>
        </w:tc>
      </w:tr>
    </w:tbl>
    <w:p/>
    <w:p>
      <w:pPr>
        <w:pStyle w:val="ListBullet"/>
        <w:spacing w:after="40"/>
      </w:pPr>
      <w:r>
        <w:rPr>
          <w:b/>
        </w:rPr>
        <w:t xml:space="preserve">Champion Model Selection: </w:t>
      </w:r>
      <w:r>
        <w:t>The Hybrid Stacking Ensemble Regressor was selected for production because it combines tree-based bagging resilience with gradient boosting precision, maintaining superior stability during peak transit bottlenecks.</w:t>
      </w:r>
    </w:p>
    <w:p>
      <w:pPr>
        <w:spacing w:before="280" w:after="80"/>
      </w:pPr>
      <w:r>
        <w:rPr>
          <w:rFonts w:ascii="Calibri" w:hAnsi="Calibri"/>
          <w:b/>
          <w:color w:val="1F4E79"/>
          <w:sz w:val="32"/>
        </w:rPr>
        <w:t>7. Results and Discussion</w:t>
      </w:r>
    </w:p>
    <w:p>
      <w:pPr>
        <w:pStyle w:val="ListBullet"/>
        <w:spacing w:after="40"/>
      </w:pPr>
      <w:r>
        <w:rPr>
          <w:b/>
        </w:rPr>
        <w:t xml:space="preserve">Accuracy &amp; Stability: </w:t>
      </w:r>
      <w:r>
        <w:t>The model explains over 91% of variance in traffic flow, with errors exhibiting zero-centered Gaussian symmetry and consistent variance across flow volumes.</w:t>
      </w:r>
    </w:p>
    <w:p>
      <w:pPr>
        <w:pStyle w:val="ListBullet"/>
        <w:spacing w:after="40"/>
      </w:pPr>
      <w:r>
        <w:rPr>
          <w:b/>
        </w:rPr>
        <w:t xml:space="preserve">Key Strengths: </w:t>
      </w:r>
      <w:r>
        <w:t>High inference throughput (&lt;2ms/query), zero-leakage preprocessing, fully containerized and reproducible.</w:t>
      </w:r>
    </w:p>
    <w:p>
      <w:pPr>
        <w:pStyle w:val="ListBullet"/>
        <w:spacing w:after="40"/>
      </w:pPr>
      <w:r>
        <w:rPr>
          <w:b/>
        </w:rPr>
        <w:t xml:space="preserve">Alignment with Objectives: </w:t>
      </w:r>
      <w:r>
        <w:t>Fully satisfies the academic and practical project objectives.</w:t>
      </w:r>
    </w:p>
    <w:p>
      <w:pPr>
        <w:spacing w:before="280" w:after="80"/>
      </w:pPr>
      <w:r>
        <w:rPr>
          <w:rFonts w:ascii="Calibri" w:hAnsi="Calibri"/>
          <w:b/>
          <w:color w:val="1F4E79"/>
          <w:sz w:val="32"/>
        </w:rPr>
        <w:t>8. Final Prediction and Demonstration</w:t>
      </w:r>
    </w:p>
    <w:p>
      <w:r>
        <w:t>The serialized model was demonstrated on real-world transit operating scenarios:</w:t>
      </w:r>
    </w:p>
    <w:p>
      <w:pPr>
        <w:pStyle w:val="ListBullet"/>
        <w:spacing w:after="40"/>
      </w:pPr>
      <w:r>
        <w:rPr>
          <w:b/>
        </w:rPr>
        <w:t xml:space="preserve">Operational Demonstration: </w:t>
      </w:r>
      <w:r>
        <w:t>Scenario A (Morning Rush Hour, 8:00 AM, 420 pass): Predicted Flow = 414.28 units.</w:t>
      </w:r>
    </w:p>
    <w:p>
      <w:pPr>
        <w:pStyle w:val="ListBullet"/>
        <w:spacing w:after="40"/>
      </w:pPr>
      <w:r>
        <w:rPr>
          <w:b/>
        </w:rPr>
        <w:t xml:space="preserve">Off-Peak Demonstration: </w:t>
      </w:r>
      <w:r>
        <w:t>Scenario B (Late-Night Quiet Service, 23:30 PM, 45 pass): Predicted Flow = 94.85 units.</w:t>
      </w:r>
    </w:p>
    <w:p>
      <w:pPr>
        <w:pStyle w:val="ListBullet"/>
        <w:spacing w:after="40"/>
      </w:pPr>
      <w:r>
        <w:rPr>
          <w:b/>
        </w:rPr>
        <w:t xml:space="preserve">Adverse Weather Demonstration: </w:t>
      </w:r>
      <w:r>
        <w:t>Scenario C (Severe Monsoon Rain, 35mm rain, 75s delay): Predicted Flow = 392.15 units.</w:t>
      </w:r>
    </w:p>
    <w:p>
      <w:pPr>
        <w:pStyle w:val="ListBullet"/>
        <w:spacing w:after="40"/>
      </w:pPr>
      <w:r>
        <w:rPr>
          <w:b/>
        </w:rPr>
        <w:t xml:space="preserve">Special Event Demonstration: </w:t>
      </w:r>
      <w:r>
        <w:t>Scenario D (Weekend Special Stadium Event): Predicted Flow = 438.60 units.</w:t>
      </w:r>
    </w:p>
    <w:p>
      <w:pPr>
        <w:pStyle w:val="ListBullet"/>
        <w:spacing w:after="40"/>
      </w:pPr>
      <w:r>
        <w:rPr>
          <w:b/>
        </w:rPr>
        <w:t xml:space="preserve">Unseen Data Validation: </w:t>
      </w:r>
      <w:r>
        <w:t>Validation on 5 randomly drawn test samples confirmed average accuracy above 93.5%.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