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C906" w14:textId="0C6E99A3" w:rsidR="0051779D" w:rsidRDefault="0051779D" w:rsidP="0051779D">
      <w:pPr>
        <w:jc w:val="center"/>
        <w:rPr>
          <w:b/>
          <w:sz w:val="32"/>
          <w:szCs w:val="32"/>
        </w:rPr>
      </w:pPr>
      <w:r>
        <w:rPr>
          <w:b/>
          <w:sz w:val="32"/>
          <w:szCs w:val="32"/>
        </w:rPr>
        <w:t>Prediction of S</w:t>
      </w:r>
      <w:r w:rsidR="00D213FA">
        <w:rPr>
          <w:b/>
          <w:sz w:val="32"/>
          <w:szCs w:val="32"/>
        </w:rPr>
        <w:t>tate of Health</w:t>
      </w:r>
      <w:r>
        <w:rPr>
          <w:b/>
          <w:sz w:val="32"/>
          <w:szCs w:val="32"/>
        </w:rPr>
        <w:t xml:space="preserve"> </w:t>
      </w:r>
      <w:r w:rsidR="00D213FA">
        <w:rPr>
          <w:b/>
          <w:sz w:val="32"/>
          <w:szCs w:val="32"/>
        </w:rPr>
        <w:t>for</w:t>
      </w:r>
      <w:r>
        <w:rPr>
          <w:b/>
          <w:sz w:val="32"/>
          <w:szCs w:val="32"/>
        </w:rPr>
        <w:t xml:space="preserve"> Lithium</w:t>
      </w:r>
      <w:r w:rsidR="00D213FA">
        <w:rPr>
          <w:b/>
          <w:sz w:val="32"/>
          <w:szCs w:val="32"/>
        </w:rPr>
        <w:t>-</w:t>
      </w:r>
      <w:r>
        <w:rPr>
          <w:b/>
          <w:sz w:val="32"/>
          <w:szCs w:val="32"/>
        </w:rPr>
        <w:t xml:space="preserve">Ion Batteries </w:t>
      </w:r>
      <w:r w:rsidR="00D213FA">
        <w:rPr>
          <w:b/>
          <w:sz w:val="32"/>
          <w:szCs w:val="32"/>
        </w:rPr>
        <w:t>Employing</w:t>
      </w:r>
      <w:r>
        <w:rPr>
          <w:b/>
          <w:sz w:val="32"/>
          <w:szCs w:val="32"/>
        </w:rPr>
        <w:t xml:space="preserve"> Gaussian Process Regression</w:t>
      </w:r>
    </w:p>
    <w:p w14:paraId="6CF0CAAF" w14:textId="77777777" w:rsidR="00281385" w:rsidRDefault="00281385" w:rsidP="00FB335F">
      <w:pPr>
        <w:jc w:val="center"/>
        <w:rPr>
          <w:rFonts w:cs="Arial"/>
          <w:lang w:val="en-US"/>
        </w:rPr>
      </w:pP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02C36793" w14:textId="7BDE234C" w:rsidR="00E940FE" w:rsidRPr="0051779D" w:rsidRDefault="00E940FE" w:rsidP="0051779D">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D8BBBF" w14:textId="75240299" w:rsidR="00E940FE" w:rsidRPr="00EA3099" w:rsidRDefault="007B31F0" w:rsidP="00FB335F">
      <w:pPr>
        <w:jc w:val="center"/>
        <w:rPr>
          <w:rFonts w:cs="Arial"/>
          <w:b/>
          <w:bCs/>
          <w:lang w:val="en-US"/>
        </w:rPr>
      </w:pPr>
      <w:r>
        <w:rPr>
          <w:rFonts w:cs="Arial"/>
          <w:b/>
          <w:bCs/>
          <w:lang w:val="en-US"/>
        </w:rPr>
        <w:t>Bachelor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00E78CDC" w14:textId="7D02F97C" w:rsidR="00A1662F" w:rsidRPr="0051779D" w:rsidRDefault="00A43DCE" w:rsidP="0051779D">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5E4C8514" w14:textId="33E05157" w:rsidR="00A1662F" w:rsidRPr="00EA3099" w:rsidRDefault="00781A84" w:rsidP="00FB335F">
      <w:pPr>
        <w:jc w:val="center"/>
        <w:rPr>
          <w:rFonts w:cs="Arial"/>
          <w:lang w:val="en-US"/>
        </w:rPr>
      </w:pPr>
      <w:r w:rsidRPr="00EA3099">
        <w:rPr>
          <w:rFonts w:cs="Arial"/>
          <w:lang w:val="en-US"/>
        </w:rPr>
        <w:t>Submitted by</w:t>
      </w:r>
    </w:p>
    <w:p w14:paraId="2CD0D445" w14:textId="127A5A21" w:rsidR="00D235C9" w:rsidRDefault="0051779D" w:rsidP="00FA43A6">
      <w:pPr>
        <w:jc w:val="center"/>
        <w:rPr>
          <w:rFonts w:cs="Arial"/>
          <w:b/>
          <w:bCs/>
          <w:lang w:val="en-US"/>
        </w:rPr>
      </w:pPr>
      <w:r>
        <w:rPr>
          <w:rFonts w:cs="Arial"/>
          <w:b/>
          <w:bCs/>
          <w:lang w:val="en-US"/>
        </w:rPr>
        <w:t>G. Revanth Krishna Sai (AP21110010979)</w:t>
      </w:r>
    </w:p>
    <w:p w14:paraId="54C39C43" w14:textId="2E455953" w:rsidR="0051779D" w:rsidRDefault="0051779D" w:rsidP="00FA43A6">
      <w:pPr>
        <w:jc w:val="center"/>
        <w:rPr>
          <w:rFonts w:cs="Arial"/>
          <w:b/>
          <w:bCs/>
          <w:lang w:val="en-US"/>
        </w:rPr>
      </w:pPr>
      <w:r>
        <w:rPr>
          <w:rFonts w:cs="Arial"/>
          <w:b/>
          <w:bCs/>
          <w:lang w:val="en-US"/>
        </w:rPr>
        <w:t xml:space="preserve">CH. </w:t>
      </w:r>
      <w:proofErr w:type="spellStart"/>
      <w:r>
        <w:rPr>
          <w:rFonts w:cs="Arial"/>
          <w:b/>
          <w:bCs/>
          <w:lang w:val="en-US"/>
        </w:rPr>
        <w:t>Himabindhu</w:t>
      </w:r>
      <w:proofErr w:type="spellEnd"/>
      <w:r>
        <w:rPr>
          <w:rFonts w:cs="Arial"/>
          <w:b/>
          <w:bCs/>
          <w:lang w:val="en-US"/>
        </w:rPr>
        <w:t xml:space="preserve"> (AP21110011249)</w:t>
      </w:r>
    </w:p>
    <w:p w14:paraId="1F440BC5" w14:textId="65761D79" w:rsidR="0051779D" w:rsidRDefault="0051779D" w:rsidP="00FA43A6">
      <w:pPr>
        <w:jc w:val="center"/>
        <w:rPr>
          <w:rFonts w:cs="Arial"/>
          <w:b/>
          <w:bCs/>
          <w:lang w:val="en-US"/>
        </w:rPr>
      </w:pPr>
      <w:r>
        <w:rPr>
          <w:rFonts w:cs="Arial"/>
          <w:b/>
          <w:bCs/>
          <w:lang w:val="en-US"/>
        </w:rPr>
        <w:t>P. Bhanu Bharath (AP21110010995)</w:t>
      </w:r>
    </w:p>
    <w:p w14:paraId="118638BF" w14:textId="67F7412C" w:rsidR="0051779D" w:rsidRPr="00EA3099" w:rsidRDefault="0051779D" w:rsidP="0051779D">
      <w:pPr>
        <w:jc w:val="center"/>
        <w:rPr>
          <w:rFonts w:cs="Arial"/>
          <w:b/>
          <w:bCs/>
          <w:lang w:val="en-US"/>
        </w:rPr>
      </w:pPr>
      <w:r>
        <w:rPr>
          <w:rFonts w:cs="Arial"/>
          <w:b/>
          <w:bCs/>
          <w:lang w:val="en-US"/>
        </w:rPr>
        <w:t>B. Jayanth Varma (AP21110011039)</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eastAsia="en-IN"/>
        </w:rPr>
        <w:drawing>
          <wp:inline distT="0" distB="0" distL="0" distR="0" wp14:anchorId="006C00C5" wp14:editId="1A372187">
            <wp:extent cx="1905975" cy="1743740"/>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94389" cy="1824628"/>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2583AD84" w14:textId="7787D006" w:rsidR="00BA7A95" w:rsidRDefault="0051779D" w:rsidP="00FA43A6">
      <w:pPr>
        <w:jc w:val="center"/>
        <w:rPr>
          <w:b/>
          <w:bCs/>
          <w:sz w:val="28"/>
          <w:szCs w:val="24"/>
        </w:rPr>
      </w:pPr>
      <w:proofErr w:type="spellStart"/>
      <w:r>
        <w:rPr>
          <w:b/>
          <w:bCs/>
          <w:sz w:val="28"/>
          <w:szCs w:val="24"/>
        </w:rPr>
        <w:t>Dr.</w:t>
      </w:r>
      <w:proofErr w:type="spellEnd"/>
      <w:r>
        <w:rPr>
          <w:b/>
          <w:bCs/>
          <w:sz w:val="28"/>
          <w:szCs w:val="24"/>
        </w:rPr>
        <w:t xml:space="preserve"> Tarkeshwar</w:t>
      </w:r>
      <w:r w:rsidR="00376814">
        <w:rPr>
          <w:b/>
          <w:bCs/>
          <w:sz w:val="28"/>
          <w:szCs w:val="24"/>
        </w:rPr>
        <w:t xml:space="preserve"> Mahto</w:t>
      </w:r>
    </w:p>
    <w:p w14:paraId="23D18331" w14:textId="77777777" w:rsidR="00A71C89" w:rsidRDefault="00A71C89" w:rsidP="00FA43A6">
      <w:pPr>
        <w:jc w:val="cente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5774634B" w:rsidR="00EA3099" w:rsidRDefault="007718C9" w:rsidP="00FA43A6">
      <w:pPr>
        <w:jc w:val="center"/>
        <w:rPr>
          <w:b/>
          <w:bCs/>
          <w:sz w:val="28"/>
          <w:szCs w:val="24"/>
        </w:rPr>
        <w:sectPr w:rsidR="00EA3099"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Nov</w:t>
      </w:r>
      <w:r w:rsidR="008020B4" w:rsidRPr="00EA3099">
        <w:rPr>
          <w:b/>
          <w:bCs/>
        </w:rPr>
        <w:t xml:space="preserve">, </w:t>
      </w:r>
      <w:r>
        <w:rPr>
          <w:b/>
          <w:bCs/>
        </w:rPr>
        <w:t>2023</w:t>
      </w:r>
      <w:r w:rsidR="001926B7" w:rsidRPr="00FA43A6">
        <w:rPr>
          <w:b/>
          <w:bCs/>
          <w:sz w:val="28"/>
          <w:szCs w:val="24"/>
        </w:rPr>
        <w:br w:type="page"/>
      </w:r>
    </w:p>
    <w:p w14:paraId="4151B8F8" w14:textId="77777777" w:rsidR="00A437C3" w:rsidRDefault="00A437C3" w:rsidP="00FF0CD3">
      <w:pPr>
        <w:jc w:val="center"/>
        <w:rPr>
          <w:b/>
          <w:bCs/>
          <w:sz w:val="36"/>
          <w:szCs w:val="32"/>
        </w:rPr>
        <w:sectPr w:rsidR="00A437C3" w:rsidSect="00A437C3">
          <w:type w:val="continuous"/>
          <w:pgSz w:w="11906" w:h="16838"/>
          <w:pgMar w:top="1440" w:right="1440" w:bottom="1440" w:left="1440" w:header="708" w:footer="708" w:gutter="0"/>
          <w:pgNumType w:fmt="lowerRoman" w:start="1"/>
          <w:cols w:space="708"/>
          <w:titlePg/>
          <w:docGrid w:linePitch="360"/>
        </w:sectPr>
      </w:pPr>
    </w:p>
    <w:p w14:paraId="085F87C6" w14:textId="77777777" w:rsidR="001A32C0" w:rsidRPr="00FF0CD3" w:rsidRDefault="001A32C0" w:rsidP="002C3E08">
      <w:pPr>
        <w:pStyle w:val="Heading1"/>
        <w:numPr>
          <w:ilvl w:val="0"/>
          <w:numId w:val="0"/>
        </w:numPr>
        <w:ind w:left="360" w:hanging="360"/>
      </w:pPr>
      <w:bookmarkStart w:id="0" w:name="_Toc152946055"/>
      <w:r w:rsidRPr="00FF0CD3">
        <w:lastRenderedPageBreak/>
        <w:t>Certificate</w:t>
      </w:r>
      <w:bookmarkEnd w:id="0"/>
    </w:p>
    <w:p w14:paraId="1577F2C4" w14:textId="221BFFA5" w:rsidR="001A32C0" w:rsidRDefault="001A32C0" w:rsidP="00FF0CD3"/>
    <w:p w14:paraId="4F0FEA63" w14:textId="4FDB3180" w:rsidR="00213143" w:rsidRPr="0043540D" w:rsidRDefault="00213143" w:rsidP="00213143">
      <w:pPr>
        <w:jc w:val="right"/>
      </w:pPr>
      <w:r w:rsidRPr="0043540D">
        <w:t xml:space="preserve">Date: </w:t>
      </w:r>
      <w:r w:rsidR="00E02E38">
        <w:t>1-12-2023</w:t>
      </w:r>
    </w:p>
    <w:p w14:paraId="7894C798" w14:textId="77777777" w:rsidR="00213143" w:rsidRPr="0043540D" w:rsidRDefault="00213143" w:rsidP="00213143"/>
    <w:p w14:paraId="3FBE34E2" w14:textId="77777777" w:rsidR="00213143" w:rsidRPr="0043540D" w:rsidRDefault="00213143" w:rsidP="00213143"/>
    <w:p w14:paraId="1E7C8675" w14:textId="7DF05646" w:rsidR="00D70556" w:rsidRPr="0051779D" w:rsidRDefault="007C1831" w:rsidP="00E02E38">
      <w:pPr>
        <w:jc w:val="both"/>
        <w:rPr>
          <w:b/>
          <w:sz w:val="32"/>
          <w:szCs w:val="32"/>
        </w:rPr>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3D42D9" w:rsidRPr="003D42D9">
        <w:rPr>
          <w:b/>
          <w:szCs w:val="24"/>
        </w:rPr>
        <w:t>Prediction of State of Health for Lithium-Ion Batteries Employing Gaussian Process Regression</w:t>
      </w:r>
      <w:r w:rsidR="00D9544C" w:rsidRPr="0043540D">
        <w:t xml:space="preserve">” </w:t>
      </w:r>
      <w:r w:rsidR="00CC1391" w:rsidRPr="0043540D">
        <w:t xml:space="preserve">has been carried </w:t>
      </w:r>
      <w:r w:rsidR="00002002" w:rsidRPr="0043540D">
        <w:t>out by</w:t>
      </w:r>
      <w:r w:rsidR="0051779D" w:rsidRPr="0051779D">
        <w:rPr>
          <w:b/>
        </w:rPr>
        <w:t xml:space="preserve"> </w:t>
      </w:r>
      <w:r w:rsidR="0051779D">
        <w:rPr>
          <w:b/>
        </w:rPr>
        <w:t>G. Revanth Krishna Sai</w:t>
      </w:r>
      <w:r w:rsidR="0051779D">
        <w:t xml:space="preserve">, </w:t>
      </w:r>
      <w:r w:rsidR="0051779D">
        <w:rPr>
          <w:b/>
        </w:rPr>
        <w:t xml:space="preserve">Ch. </w:t>
      </w:r>
      <w:proofErr w:type="spellStart"/>
      <w:proofErr w:type="gramStart"/>
      <w:r w:rsidR="0051779D">
        <w:rPr>
          <w:b/>
        </w:rPr>
        <w:t>Himabindhu</w:t>
      </w:r>
      <w:proofErr w:type="spellEnd"/>
      <w:r w:rsidR="0051779D" w:rsidRPr="0043540D">
        <w:t xml:space="preserve"> </w:t>
      </w:r>
      <w:r w:rsidR="0051779D">
        <w:t>,</w:t>
      </w:r>
      <w:proofErr w:type="gramEnd"/>
      <w:r w:rsidR="0051779D">
        <w:t xml:space="preserve"> </w:t>
      </w:r>
      <w:r w:rsidR="0051779D">
        <w:rPr>
          <w:b/>
        </w:rPr>
        <w:t>P. Bhanu Bharath</w:t>
      </w:r>
      <w:r w:rsidR="0051779D" w:rsidRPr="0043540D">
        <w:t xml:space="preserve"> </w:t>
      </w:r>
      <w:r w:rsidR="0051779D">
        <w:t xml:space="preserve">, </w:t>
      </w:r>
      <w:r w:rsidR="00046748">
        <w:rPr>
          <w:b/>
        </w:rPr>
        <w:t>B. Jayanth Varma</w:t>
      </w:r>
      <w:r w:rsidR="00046748" w:rsidRPr="0043540D">
        <w:t xml:space="preserve"> </w:t>
      </w:r>
      <w:r w:rsidR="008508FC" w:rsidRPr="0043540D">
        <w:t xml:space="preserve">under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Technology/Master of Technology</w:t>
      </w:r>
      <w:r w:rsidR="00340BB0" w:rsidRPr="0043540D">
        <w:t xml:space="preserve"> in </w:t>
      </w:r>
      <w:r w:rsidR="00340BB0" w:rsidRPr="00880EE6">
        <w:rPr>
          <w:b/>
          <w:bCs/>
        </w:rPr>
        <w:t>School of Engineering and Sciences</w:t>
      </w:r>
      <w:r w:rsidR="00340BB0" w:rsidRPr="0043540D">
        <w:t xml:space="preserve">. </w:t>
      </w:r>
    </w:p>
    <w:p w14:paraId="4A7AD5AA" w14:textId="52D6C9CD" w:rsidR="00D70556" w:rsidRDefault="00D70556" w:rsidP="008C7584">
      <w:pPr>
        <w:jc w:val="both"/>
      </w:pPr>
    </w:p>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7279E9A5" w14:textId="1C429865" w:rsidR="003C1BD7" w:rsidRPr="0043540D" w:rsidRDefault="003C1BD7" w:rsidP="00213143">
      <w:proofErr w:type="spellStart"/>
      <w:r w:rsidRPr="0043540D">
        <w:t>Dr.</w:t>
      </w:r>
      <w:proofErr w:type="spellEnd"/>
      <w:r w:rsidRPr="0043540D">
        <w:t xml:space="preserve"> </w:t>
      </w:r>
      <w:r w:rsidR="00376814">
        <w:t>Tarkeshwar Mahto</w:t>
      </w:r>
    </w:p>
    <w:p w14:paraId="44E8F3E7" w14:textId="6F8F1312" w:rsidR="001728FD" w:rsidRPr="0043540D" w:rsidRDefault="00376814" w:rsidP="00213143">
      <w:r>
        <w:t>Assistant Professor</w:t>
      </w:r>
      <w:r w:rsidR="001728FD" w:rsidRPr="0043540D">
        <w:t>,</w:t>
      </w:r>
    </w:p>
    <w:p w14:paraId="3E9DB780" w14:textId="28C17CE3" w:rsidR="002D0D8B" w:rsidRPr="0043540D" w:rsidRDefault="00376814" w:rsidP="00213143">
      <w:r>
        <w:t>SRM University AP</w:t>
      </w:r>
      <w:r w:rsidR="008A3168" w:rsidRPr="0043540D">
        <w:t>.</w:t>
      </w:r>
    </w:p>
    <w:p w14:paraId="2684D340" w14:textId="0CFCB884" w:rsidR="002D0D8B" w:rsidRDefault="002D0D8B" w:rsidP="00213143"/>
    <w:p w14:paraId="563F54ED" w14:textId="77777777" w:rsidR="00A05384" w:rsidRPr="0043540D" w:rsidRDefault="00A05384" w:rsidP="00213143"/>
    <w:p w14:paraId="570E66FB" w14:textId="2B075B66" w:rsidR="00E526A6" w:rsidRDefault="00E526A6" w:rsidP="00213143">
      <w:r>
        <w:br w:type="page"/>
      </w:r>
    </w:p>
    <w:p w14:paraId="16A2F5B2" w14:textId="77777777" w:rsidR="00676CEB" w:rsidRDefault="00676CEB">
      <w:pPr>
        <w:rPr>
          <w:b/>
          <w:bCs/>
          <w:sz w:val="36"/>
          <w:szCs w:val="32"/>
        </w:rPr>
      </w:pPr>
      <w:r>
        <w:rPr>
          <w:b/>
          <w:bCs/>
          <w:sz w:val="36"/>
          <w:szCs w:val="32"/>
        </w:rPr>
        <w:lastRenderedPageBreak/>
        <w:br w:type="page"/>
      </w:r>
    </w:p>
    <w:p w14:paraId="101098C0" w14:textId="30826D2C" w:rsidR="00031A3E" w:rsidRDefault="00031A3E" w:rsidP="002C3E08">
      <w:pPr>
        <w:pStyle w:val="Heading1"/>
        <w:numPr>
          <w:ilvl w:val="0"/>
          <w:numId w:val="0"/>
        </w:numPr>
        <w:ind w:left="360" w:hanging="360"/>
      </w:pPr>
      <w:bookmarkStart w:id="1" w:name="_Toc152946056"/>
      <w:r w:rsidRPr="00FF0CD3">
        <w:lastRenderedPageBreak/>
        <w:t>Acknowledgements</w:t>
      </w:r>
      <w:bookmarkEnd w:id="1"/>
    </w:p>
    <w:p w14:paraId="7CC0BEC2" w14:textId="77777777" w:rsidR="00046748" w:rsidRPr="00046748" w:rsidRDefault="00046748" w:rsidP="00046748">
      <w:pPr>
        <w:rPr>
          <w:lang w:val="en-US"/>
        </w:rPr>
      </w:pPr>
    </w:p>
    <w:p w14:paraId="2C08974E" w14:textId="77777777" w:rsidR="00046748" w:rsidRPr="000F3B09" w:rsidRDefault="00046748" w:rsidP="008157D9">
      <w:pPr>
        <w:jc w:val="both"/>
      </w:pPr>
      <w:r w:rsidRPr="000F3B09">
        <w:t xml:space="preserve">I would like to express my deepest gratitude to </w:t>
      </w:r>
      <w:proofErr w:type="spellStart"/>
      <w:r w:rsidRPr="000F3B09">
        <w:t>Dr.</w:t>
      </w:r>
      <w:proofErr w:type="spellEnd"/>
      <w:r w:rsidRPr="000F3B09">
        <w:t xml:space="preserve"> Tarkeshwar for his invaluable guidance and unwavering support throughout the course of this research project. His expertise, insightful feedback, and dedication to fostering a rigorous intellectual environment have been instrumental in shaping the direction and success of this study.</w:t>
      </w:r>
    </w:p>
    <w:p w14:paraId="60A1656B" w14:textId="77777777" w:rsidR="00046748" w:rsidRPr="000F3B09" w:rsidRDefault="00046748" w:rsidP="008157D9">
      <w:pPr>
        <w:jc w:val="both"/>
      </w:pPr>
      <w:proofErr w:type="spellStart"/>
      <w:r w:rsidRPr="000F3B09">
        <w:t>Dr.</w:t>
      </w:r>
      <w:proofErr w:type="spellEnd"/>
      <w:r w:rsidRPr="000F3B09">
        <w:t xml:space="preserve"> </w:t>
      </w:r>
      <w:proofErr w:type="spellStart"/>
      <w:r w:rsidRPr="000F3B09">
        <w:t>Tarkeshwar's</w:t>
      </w:r>
      <w:proofErr w:type="spellEnd"/>
      <w:r w:rsidRPr="000F3B09">
        <w:t xml:space="preserve"> mentorship has not only enhanced the quality of my work but has also been a source of inspiration, motivating me to strive for excellence in every aspect of the research process. I am truly fortunate to have had the opportunity to work under his mentorship, and I am grateful for the knowledge and skills I have gained through this collaboration.</w:t>
      </w:r>
    </w:p>
    <w:p w14:paraId="2ABC9895" w14:textId="77777777" w:rsidR="00046748" w:rsidRPr="000F3B09" w:rsidRDefault="00046748" w:rsidP="008157D9">
      <w:pPr>
        <w:jc w:val="both"/>
      </w:pPr>
      <w:r w:rsidRPr="000F3B09">
        <w:t xml:space="preserve">I would like to extend my heartfelt thanks to </w:t>
      </w:r>
      <w:proofErr w:type="spellStart"/>
      <w:r w:rsidRPr="000F3B09">
        <w:t>Dr.</w:t>
      </w:r>
      <w:proofErr w:type="spellEnd"/>
      <w:r w:rsidRPr="000F3B09">
        <w:t xml:space="preserve"> Tarkeshwar for his encouragement, patience, and mentorship, which have been instrumental in the completion of this research project. His commitment to academic excellence and passion for research have left a lasting impact on my academic and professional development.</w:t>
      </w:r>
    </w:p>
    <w:p w14:paraId="20365663" w14:textId="77777777" w:rsidR="00046748" w:rsidRPr="000F3B09" w:rsidRDefault="00046748" w:rsidP="008157D9">
      <w:pPr>
        <w:jc w:val="both"/>
      </w:pPr>
      <w:r w:rsidRPr="000F3B09">
        <w:t xml:space="preserve">Thank you, </w:t>
      </w:r>
      <w:proofErr w:type="spellStart"/>
      <w:r w:rsidRPr="000F3B09">
        <w:t>Dr.</w:t>
      </w:r>
      <w:proofErr w:type="spellEnd"/>
      <w:r w:rsidRPr="000F3B09">
        <w:t xml:space="preserve"> Tarkeshwar, for being an outstanding mentor and for your invaluable contributions to this research </w:t>
      </w:r>
      <w:proofErr w:type="spellStart"/>
      <w:r w:rsidRPr="000F3B09">
        <w:t>endeavor</w:t>
      </w:r>
      <w:proofErr w:type="spellEnd"/>
      <w:r w:rsidRPr="000F3B09">
        <w:t>.</w:t>
      </w:r>
    </w:p>
    <w:p w14:paraId="2E8B959F" w14:textId="77777777" w:rsidR="00031A3E" w:rsidRDefault="00031A3E">
      <w:pPr>
        <w:rPr>
          <w:rFonts w:eastAsiaTheme="majorEastAsia" w:cs="Arial"/>
          <w:b/>
          <w:sz w:val="36"/>
          <w:szCs w:val="44"/>
          <w:lang w:val="en-US"/>
        </w:rPr>
      </w:pPr>
      <w:r>
        <w:br w:type="page"/>
      </w:r>
    </w:p>
    <w:p w14:paraId="2A6216C7" w14:textId="77777777" w:rsidR="00031A3E" w:rsidRPr="00594119" w:rsidRDefault="00031A3E">
      <w:pPr>
        <w:rPr>
          <w:rFonts w:eastAsiaTheme="majorEastAsia" w:cs="Arial"/>
          <w:b/>
          <w:sz w:val="36"/>
          <w:szCs w:val="44"/>
          <w:vertAlign w:val="superscript"/>
          <w:lang w:val="en-US"/>
        </w:rPr>
      </w:pPr>
      <w:r>
        <w:lastRenderedPageBreak/>
        <w:br w:type="page"/>
      </w:r>
    </w:p>
    <w:bookmarkStart w:id="2" w:name="_Toc152946057" w:displacedByCustomXml="next"/>
    <w:sdt>
      <w:sdtPr>
        <w:rPr>
          <w:rFonts w:asciiTheme="minorHAnsi" w:eastAsiaTheme="minorHAnsi" w:hAnsiTheme="minorHAnsi" w:cstheme="minorBidi"/>
          <w:b w:val="0"/>
          <w:sz w:val="24"/>
          <w:szCs w:val="22"/>
          <w:lang w:val="en-IN"/>
        </w:rPr>
        <w:id w:val="-1764301869"/>
        <w:docPartObj>
          <w:docPartGallery w:val="Table of Contents"/>
          <w:docPartUnique/>
        </w:docPartObj>
      </w:sdtPr>
      <w:sdtEndPr>
        <w:rPr>
          <w:rFonts w:ascii="Book Antiqua" w:hAnsi="Book Antiqua"/>
          <w:bCs/>
          <w:noProof/>
        </w:rPr>
      </w:sdtEndPr>
      <w:sdtContent>
        <w:p w14:paraId="279035E4" w14:textId="3427B26E" w:rsidR="00676CEB" w:rsidRDefault="00733A43" w:rsidP="00676CEB">
          <w:pPr>
            <w:pStyle w:val="Heading1"/>
            <w:numPr>
              <w:ilvl w:val="0"/>
              <w:numId w:val="0"/>
            </w:numPr>
            <w:ind w:left="360" w:hanging="360"/>
          </w:pPr>
          <w:r>
            <w:t>Table of C</w:t>
          </w:r>
          <w:r w:rsidR="00676CEB" w:rsidRPr="00026C7F">
            <w:t>ontents</w:t>
          </w:r>
          <w:bookmarkEnd w:id="2"/>
        </w:p>
        <w:p w14:paraId="32ED750A" w14:textId="77777777" w:rsidR="00594119" w:rsidRPr="00594119" w:rsidRDefault="00594119" w:rsidP="00594119">
          <w:pPr>
            <w:rPr>
              <w:lang w:val="en-US"/>
            </w:rPr>
          </w:pPr>
        </w:p>
        <w:p w14:paraId="7BBC1EAF" w14:textId="538E83CA" w:rsidR="00701323" w:rsidRDefault="00676CEB">
          <w:pPr>
            <w:pStyle w:val="TOC1"/>
            <w:tabs>
              <w:tab w:val="right" w:leader="dot" w:pos="9016"/>
            </w:tabs>
            <w:rPr>
              <w:rFonts w:asciiTheme="minorHAnsi" w:eastAsiaTheme="minorEastAsia" w:hAnsiTheme="minorHAnsi"/>
              <w:noProof/>
              <w:sz w:val="22"/>
              <w:lang w:eastAsia="en-IN"/>
            </w:rPr>
          </w:pPr>
          <w:r w:rsidRPr="00026C7F">
            <w:fldChar w:fldCharType="begin"/>
          </w:r>
          <w:r w:rsidRPr="00026C7F">
            <w:instrText xml:space="preserve"> TOC \o "1-3" \h \z \u </w:instrText>
          </w:r>
          <w:r w:rsidRPr="00026C7F">
            <w:fldChar w:fldCharType="separate"/>
          </w:r>
          <w:hyperlink w:anchor="_Toc152946055" w:history="1">
            <w:r w:rsidR="00701323" w:rsidRPr="00DE0388">
              <w:rPr>
                <w:rStyle w:val="Hyperlink"/>
                <w:noProof/>
              </w:rPr>
              <w:t>Certificate</w:t>
            </w:r>
            <w:r w:rsidR="00701323">
              <w:rPr>
                <w:noProof/>
                <w:webHidden/>
              </w:rPr>
              <w:tab/>
            </w:r>
            <w:r w:rsidR="00701323">
              <w:rPr>
                <w:noProof/>
                <w:webHidden/>
              </w:rPr>
              <w:fldChar w:fldCharType="begin"/>
            </w:r>
            <w:r w:rsidR="00701323">
              <w:rPr>
                <w:noProof/>
                <w:webHidden/>
              </w:rPr>
              <w:instrText xml:space="preserve"> PAGEREF _Toc152946055 \h </w:instrText>
            </w:r>
            <w:r w:rsidR="00701323">
              <w:rPr>
                <w:noProof/>
                <w:webHidden/>
              </w:rPr>
            </w:r>
            <w:r w:rsidR="00701323">
              <w:rPr>
                <w:noProof/>
                <w:webHidden/>
              </w:rPr>
              <w:fldChar w:fldCharType="separate"/>
            </w:r>
            <w:r w:rsidR="00701323">
              <w:rPr>
                <w:noProof/>
                <w:webHidden/>
              </w:rPr>
              <w:t>i</w:t>
            </w:r>
            <w:r w:rsidR="00701323">
              <w:rPr>
                <w:noProof/>
                <w:webHidden/>
              </w:rPr>
              <w:fldChar w:fldCharType="end"/>
            </w:r>
          </w:hyperlink>
        </w:p>
        <w:p w14:paraId="7AF20CE4" w14:textId="6DC4C816" w:rsidR="00701323" w:rsidRDefault="005B3CC1">
          <w:pPr>
            <w:pStyle w:val="TOC1"/>
            <w:tabs>
              <w:tab w:val="right" w:leader="dot" w:pos="9016"/>
            </w:tabs>
            <w:rPr>
              <w:rFonts w:asciiTheme="minorHAnsi" w:eastAsiaTheme="minorEastAsia" w:hAnsiTheme="minorHAnsi"/>
              <w:noProof/>
              <w:sz w:val="22"/>
              <w:lang w:eastAsia="en-IN"/>
            </w:rPr>
          </w:pPr>
          <w:hyperlink w:anchor="_Toc152946056" w:history="1">
            <w:r w:rsidR="00701323" w:rsidRPr="00DE0388">
              <w:rPr>
                <w:rStyle w:val="Hyperlink"/>
                <w:noProof/>
              </w:rPr>
              <w:t>Acknowledgements</w:t>
            </w:r>
            <w:r w:rsidR="00701323">
              <w:rPr>
                <w:noProof/>
                <w:webHidden/>
              </w:rPr>
              <w:tab/>
            </w:r>
            <w:r w:rsidR="00701323">
              <w:rPr>
                <w:noProof/>
                <w:webHidden/>
              </w:rPr>
              <w:fldChar w:fldCharType="begin"/>
            </w:r>
            <w:r w:rsidR="00701323">
              <w:rPr>
                <w:noProof/>
                <w:webHidden/>
              </w:rPr>
              <w:instrText xml:space="preserve"> PAGEREF _Toc152946056 \h </w:instrText>
            </w:r>
            <w:r w:rsidR="00701323">
              <w:rPr>
                <w:noProof/>
                <w:webHidden/>
              </w:rPr>
            </w:r>
            <w:r w:rsidR="00701323">
              <w:rPr>
                <w:noProof/>
                <w:webHidden/>
              </w:rPr>
              <w:fldChar w:fldCharType="separate"/>
            </w:r>
            <w:r w:rsidR="00701323">
              <w:rPr>
                <w:noProof/>
                <w:webHidden/>
              </w:rPr>
              <w:t>iii</w:t>
            </w:r>
            <w:r w:rsidR="00701323">
              <w:rPr>
                <w:noProof/>
                <w:webHidden/>
              </w:rPr>
              <w:fldChar w:fldCharType="end"/>
            </w:r>
          </w:hyperlink>
        </w:p>
        <w:p w14:paraId="32E587A2" w14:textId="06D91D4D" w:rsidR="00701323" w:rsidRDefault="005B3CC1">
          <w:pPr>
            <w:pStyle w:val="TOC1"/>
            <w:tabs>
              <w:tab w:val="right" w:leader="dot" w:pos="9016"/>
            </w:tabs>
            <w:rPr>
              <w:rFonts w:asciiTheme="minorHAnsi" w:eastAsiaTheme="minorEastAsia" w:hAnsiTheme="minorHAnsi"/>
              <w:noProof/>
              <w:sz w:val="22"/>
              <w:lang w:eastAsia="en-IN"/>
            </w:rPr>
          </w:pPr>
          <w:hyperlink w:anchor="_Toc152946057" w:history="1">
            <w:r w:rsidR="00701323" w:rsidRPr="00DE0388">
              <w:rPr>
                <w:rStyle w:val="Hyperlink"/>
                <w:noProof/>
              </w:rPr>
              <w:t>Table of Contents</w:t>
            </w:r>
            <w:r w:rsidR="00701323">
              <w:rPr>
                <w:noProof/>
                <w:webHidden/>
              </w:rPr>
              <w:tab/>
            </w:r>
            <w:r w:rsidR="00701323">
              <w:rPr>
                <w:noProof/>
                <w:webHidden/>
              </w:rPr>
              <w:fldChar w:fldCharType="begin"/>
            </w:r>
            <w:r w:rsidR="00701323">
              <w:rPr>
                <w:noProof/>
                <w:webHidden/>
              </w:rPr>
              <w:instrText xml:space="preserve"> PAGEREF _Toc152946057 \h </w:instrText>
            </w:r>
            <w:r w:rsidR="00701323">
              <w:rPr>
                <w:noProof/>
                <w:webHidden/>
              </w:rPr>
            </w:r>
            <w:r w:rsidR="00701323">
              <w:rPr>
                <w:noProof/>
                <w:webHidden/>
              </w:rPr>
              <w:fldChar w:fldCharType="separate"/>
            </w:r>
            <w:r w:rsidR="00701323">
              <w:rPr>
                <w:noProof/>
                <w:webHidden/>
              </w:rPr>
              <w:t>v</w:t>
            </w:r>
            <w:r w:rsidR="00701323">
              <w:rPr>
                <w:noProof/>
                <w:webHidden/>
              </w:rPr>
              <w:fldChar w:fldCharType="end"/>
            </w:r>
          </w:hyperlink>
        </w:p>
        <w:p w14:paraId="2A910E9F" w14:textId="573D3995" w:rsidR="00701323" w:rsidRDefault="005B3CC1">
          <w:pPr>
            <w:pStyle w:val="TOC1"/>
            <w:tabs>
              <w:tab w:val="right" w:leader="dot" w:pos="9016"/>
            </w:tabs>
            <w:rPr>
              <w:rFonts w:asciiTheme="minorHAnsi" w:eastAsiaTheme="minorEastAsia" w:hAnsiTheme="minorHAnsi"/>
              <w:noProof/>
              <w:sz w:val="22"/>
              <w:lang w:eastAsia="en-IN"/>
            </w:rPr>
          </w:pPr>
          <w:hyperlink w:anchor="_Toc152946058" w:history="1">
            <w:r w:rsidR="00701323" w:rsidRPr="00DE0388">
              <w:rPr>
                <w:rStyle w:val="Hyperlink"/>
                <w:noProof/>
              </w:rPr>
              <w:t>Abstract</w:t>
            </w:r>
            <w:r w:rsidR="00701323">
              <w:rPr>
                <w:noProof/>
                <w:webHidden/>
              </w:rPr>
              <w:tab/>
            </w:r>
            <w:r w:rsidR="00701323">
              <w:rPr>
                <w:noProof/>
                <w:webHidden/>
              </w:rPr>
              <w:fldChar w:fldCharType="begin"/>
            </w:r>
            <w:r w:rsidR="00701323">
              <w:rPr>
                <w:noProof/>
                <w:webHidden/>
              </w:rPr>
              <w:instrText xml:space="preserve"> PAGEREF _Toc152946058 \h </w:instrText>
            </w:r>
            <w:r w:rsidR="00701323">
              <w:rPr>
                <w:noProof/>
                <w:webHidden/>
              </w:rPr>
            </w:r>
            <w:r w:rsidR="00701323">
              <w:rPr>
                <w:noProof/>
                <w:webHidden/>
              </w:rPr>
              <w:fldChar w:fldCharType="separate"/>
            </w:r>
            <w:r w:rsidR="00701323">
              <w:rPr>
                <w:noProof/>
                <w:webHidden/>
              </w:rPr>
              <w:t>vi</w:t>
            </w:r>
            <w:r w:rsidR="00701323">
              <w:rPr>
                <w:noProof/>
                <w:webHidden/>
              </w:rPr>
              <w:fldChar w:fldCharType="end"/>
            </w:r>
          </w:hyperlink>
        </w:p>
        <w:p w14:paraId="19EAA927" w14:textId="68E7F499" w:rsidR="00701323" w:rsidRDefault="005B3CC1">
          <w:pPr>
            <w:pStyle w:val="TOC1"/>
            <w:tabs>
              <w:tab w:val="right" w:leader="dot" w:pos="9016"/>
            </w:tabs>
            <w:rPr>
              <w:rFonts w:asciiTheme="minorHAnsi" w:eastAsiaTheme="minorEastAsia" w:hAnsiTheme="minorHAnsi"/>
              <w:noProof/>
              <w:sz w:val="22"/>
              <w:lang w:eastAsia="en-IN"/>
            </w:rPr>
          </w:pPr>
          <w:hyperlink w:anchor="_Toc152946059" w:history="1">
            <w:r w:rsidR="00701323" w:rsidRPr="00DE0388">
              <w:rPr>
                <w:rStyle w:val="Hyperlink"/>
                <w:noProof/>
              </w:rPr>
              <w:t>Abbreviations</w:t>
            </w:r>
            <w:r w:rsidR="00701323">
              <w:rPr>
                <w:noProof/>
                <w:webHidden/>
              </w:rPr>
              <w:tab/>
            </w:r>
            <w:r w:rsidR="00701323">
              <w:rPr>
                <w:noProof/>
                <w:webHidden/>
              </w:rPr>
              <w:fldChar w:fldCharType="begin"/>
            </w:r>
            <w:r w:rsidR="00701323">
              <w:rPr>
                <w:noProof/>
                <w:webHidden/>
              </w:rPr>
              <w:instrText xml:space="preserve"> PAGEREF _Toc152946059 \h </w:instrText>
            </w:r>
            <w:r w:rsidR="00701323">
              <w:rPr>
                <w:noProof/>
                <w:webHidden/>
              </w:rPr>
            </w:r>
            <w:r w:rsidR="00701323">
              <w:rPr>
                <w:noProof/>
                <w:webHidden/>
              </w:rPr>
              <w:fldChar w:fldCharType="separate"/>
            </w:r>
            <w:r w:rsidR="00701323">
              <w:rPr>
                <w:noProof/>
                <w:webHidden/>
              </w:rPr>
              <w:t>vii</w:t>
            </w:r>
            <w:r w:rsidR="00701323">
              <w:rPr>
                <w:noProof/>
                <w:webHidden/>
              </w:rPr>
              <w:fldChar w:fldCharType="end"/>
            </w:r>
          </w:hyperlink>
        </w:p>
        <w:p w14:paraId="5A680A45" w14:textId="75C83C44" w:rsidR="00701323" w:rsidRDefault="005B3CC1">
          <w:pPr>
            <w:pStyle w:val="TOC1"/>
            <w:tabs>
              <w:tab w:val="right" w:leader="dot" w:pos="9016"/>
            </w:tabs>
            <w:rPr>
              <w:rFonts w:asciiTheme="minorHAnsi" w:eastAsiaTheme="minorEastAsia" w:hAnsiTheme="minorHAnsi"/>
              <w:noProof/>
              <w:sz w:val="22"/>
              <w:lang w:eastAsia="en-IN"/>
            </w:rPr>
          </w:pPr>
          <w:hyperlink w:anchor="_Toc152946060" w:history="1">
            <w:r w:rsidR="00701323" w:rsidRPr="00DE0388">
              <w:rPr>
                <w:rStyle w:val="Hyperlink"/>
                <w:noProof/>
              </w:rPr>
              <w:t>List of Tables</w:t>
            </w:r>
            <w:r w:rsidR="00701323">
              <w:rPr>
                <w:noProof/>
                <w:webHidden/>
              </w:rPr>
              <w:tab/>
            </w:r>
            <w:r w:rsidR="00701323">
              <w:rPr>
                <w:noProof/>
                <w:webHidden/>
              </w:rPr>
              <w:fldChar w:fldCharType="begin"/>
            </w:r>
            <w:r w:rsidR="00701323">
              <w:rPr>
                <w:noProof/>
                <w:webHidden/>
              </w:rPr>
              <w:instrText xml:space="preserve"> PAGEREF _Toc152946060 \h </w:instrText>
            </w:r>
            <w:r w:rsidR="00701323">
              <w:rPr>
                <w:noProof/>
                <w:webHidden/>
              </w:rPr>
            </w:r>
            <w:r w:rsidR="00701323">
              <w:rPr>
                <w:noProof/>
                <w:webHidden/>
              </w:rPr>
              <w:fldChar w:fldCharType="separate"/>
            </w:r>
            <w:r w:rsidR="00701323">
              <w:rPr>
                <w:noProof/>
                <w:webHidden/>
              </w:rPr>
              <w:t>viii</w:t>
            </w:r>
            <w:r w:rsidR="00701323">
              <w:rPr>
                <w:noProof/>
                <w:webHidden/>
              </w:rPr>
              <w:fldChar w:fldCharType="end"/>
            </w:r>
          </w:hyperlink>
        </w:p>
        <w:p w14:paraId="645ECF62" w14:textId="75228EC1" w:rsidR="00701323" w:rsidRDefault="005B3CC1">
          <w:pPr>
            <w:pStyle w:val="TOC1"/>
            <w:tabs>
              <w:tab w:val="right" w:leader="dot" w:pos="9016"/>
            </w:tabs>
            <w:rPr>
              <w:rFonts w:asciiTheme="minorHAnsi" w:eastAsiaTheme="minorEastAsia" w:hAnsiTheme="minorHAnsi"/>
              <w:noProof/>
              <w:sz w:val="22"/>
              <w:lang w:eastAsia="en-IN"/>
            </w:rPr>
          </w:pPr>
          <w:hyperlink w:anchor="_Toc152946061" w:history="1">
            <w:r w:rsidR="00701323" w:rsidRPr="00DE0388">
              <w:rPr>
                <w:rStyle w:val="Hyperlink"/>
                <w:noProof/>
              </w:rPr>
              <w:t>List of Figures</w:t>
            </w:r>
            <w:r w:rsidR="00701323">
              <w:rPr>
                <w:noProof/>
                <w:webHidden/>
              </w:rPr>
              <w:tab/>
            </w:r>
            <w:r w:rsidR="00701323">
              <w:rPr>
                <w:noProof/>
                <w:webHidden/>
              </w:rPr>
              <w:fldChar w:fldCharType="begin"/>
            </w:r>
            <w:r w:rsidR="00701323">
              <w:rPr>
                <w:noProof/>
                <w:webHidden/>
              </w:rPr>
              <w:instrText xml:space="preserve"> PAGEREF _Toc152946061 \h </w:instrText>
            </w:r>
            <w:r w:rsidR="00701323">
              <w:rPr>
                <w:noProof/>
                <w:webHidden/>
              </w:rPr>
            </w:r>
            <w:r w:rsidR="00701323">
              <w:rPr>
                <w:noProof/>
                <w:webHidden/>
              </w:rPr>
              <w:fldChar w:fldCharType="separate"/>
            </w:r>
            <w:r w:rsidR="00701323">
              <w:rPr>
                <w:noProof/>
                <w:webHidden/>
              </w:rPr>
              <w:t>ix</w:t>
            </w:r>
            <w:r w:rsidR="00701323">
              <w:rPr>
                <w:noProof/>
                <w:webHidden/>
              </w:rPr>
              <w:fldChar w:fldCharType="end"/>
            </w:r>
          </w:hyperlink>
        </w:p>
        <w:p w14:paraId="2446C609" w14:textId="1D286836" w:rsidR="00701323" w:rsidRDefault="005B3CC1">
          <w:pPr>
            <w:pStyle w:val="TOC1"/>
            <w:tabs>
              <w:tab w:val="right" w:leader="dot" w:pos="9016"/>
            </w:tabs>
            <w:rPr>
              <w:rFonts w:asciiTheme="minorHAnsi" w:eastAsiaTheme="minorEastAsia" w:hAnsiTheme="minorHAnsi"/>
              <w:noProof/>
              <w:sz w:val="22"/>
              <w:lang w:eastAsia="en-IN"/>
            </w:rPr>
          </w:pPr>
          <w:hyperlink w:anchor="_Toc152946062" w:history="1">
            <w:r w:rsidR="00701323" w:rsidRPr="00DE0388">
              <w:rPr>
                <w:rStyle w:val="Hyperlink"/>
                <w:noProof/>
              </w:rPr>
              <w:t>List of Equations</w:t>
            </w:r>
            <w:r w:rsidR="00701323">
              <w:rPr>
                <w:noProof/>
                <w:webHidden/>
              </w:rPr>
              <w:tab/>
            </w:r>
            <w:r w:rsidR="00701323">
              <w:rPr>
                <w:noProof/>
                <w:webHidden/>
              </w:rPr>
              <w:fldChar w:fldCharType="begin"/>
            </w:r>
            <w:r w:rsidR="00701323">
              <w:rPr>
                <w:noProof/>
                <w:webHidden/>
              </w:rPr>
              <w:instrText xml:space="preserve"> PAGEREF _Toc152946062 \h </w:instrText>
            </w:r>
            <w:r w:rsidR="00701323">
              <w:rPr>
                <w:noProof/>
                <w:webHidden/>
              </w:rPr>
            </w:r>
            <w:r w:rsidR="00701323">
              <w:rPr>
                <w:noProof/>
                <w:webHidden/>
              </w:rPr>
              <w:fldChar w:fldCharType="separate"/>
            </w:r>
            <w:r w:rsidR="00701323">
              <w:rPr>
                <w:noProof/>
                <w:webHidden/>
              </w:rPr>
              <w:t>x</w:t>
            </w:r>
            <w:r w:rsidR="00701323">
              <w:rPr>
                <w:noProof/>
                <w:webHidden/>
              </w:rPr>
              <w:fldChar w:fldCharType="end"/>
            </w:r>
          </w:hyperlink>
        </w:p>
        <w:p w14:paraId="4A27FC2B" w14:textId="59BD6BD4" w:rsidR="00701323" w:rsidRDefault="005B3CC1">
          <w:pPr>
            <w:pStyle w:val="TOC1"/>
            <w:tabs>
              <w:tab w:val="left" w:pos="480"/>
              <w:tab w:val="right" w:leader="dot" w:pos="9016"/>
            </w:tabs>
            <w:rPr>
              <w:rFonts w:asciiTheme="minorHAnsi" w:eastAsiaTheme="minorEastAsia" w:hAnsiTheme="minorHAnsi"/>
              <w:noProof/>
              <w:sz w:val="22"/>
              <w:lang w:eastAsia="en-IN"/>
            </w:rPr>
          </w:pPr>
          <w:hyperlink w:anchor="_Toc152946063" w:history="1">
            <w:r w:rsidR="00701323" w:rsidRPr="00DE0388">
              <w:rPr>
                <w:rStyle w:val="Hyperlink"/>
                <w:noProof/>
              </w:rPr>
              <w:t>1.</w:t>
            </w:r>
            <w:r w:rsidR="00701323">
              <w:rPr>
                <w:rFonts w:asciiTheme="minorHAnsi" w:eastAsiaTheme="minorEastAsia" w:hAnsiTheme="minorHAnsi"/>
                <w:noProof/>
                <w:sz w:val="22"/>
                <w:lang w:eastAsia="en-IN"/>
              </w:rPr>
              <w:tab/>
            </w:r>
            <w:r w:rsidR="00701323" w:rsidRPr="00DE0388">
              <w:rPr>
                <w:rStyle w:val="Hyperlink"/>
                <w:noProof/>
              </w:rPr>
              <w:t>Introduction</w:t>
            </w:r>
            <w:r w:rsidR="00701323">
              <w:rPr>
                <w:noProof/>
                <w:webHidden/>
              </w:rPr>
              <w:tab/>
            </w:r>
            <w:r w:rsidR="00701323">
              <w:rPr>
                <w:noProof/>
                <w:webHidden/>
              </w:rPr>
              <w:fldChar w:fldCharType="begin"/>
            </w:r>
            <w:r w:rsidR="00701323">
              <w:rPr>
                <w:noProof/>
                <w:webHidden/>
              </w:rPr>
              <w:instrText xml:space="preserve"> PAGEREF _Toc152946063 \h </w:instrText>
            </w:r>
            <w:r w:rsidR="00701323">
              <w:rPr>
                <w:noProof/>
                <w:webHidden/>
              </w:rPr>
            </w:r>
            <w:r w:rsidR="00701323">
              <w:rPr>
                <w:noProof/>
                <w:webHidden/>
              </w:rPr>
              <w:fldChar w:fldCharType="separate"/>
            </w:r>
            <w:r w:rsidR="00701323">
              <w:rPr>
                <w:noProof/>
                <w:webHidden/>
              </w:rPr>
              <w:t>1</w:t>
            </w:r>
            <w:r w:rsidR="00701323">
              <w:rPr>
                <w:noProof/>
                <w:webHidden/>
              </w:rPr>
              <w:fldChar w:fldCharType="end"/>
            </w:r>
          </w:hyperlink>
        </w:p>
        <w:p w14:paraId="7B01E099" w14:textId="3EAE53CA" w:rsidR="00701323" w:rsidRDefault="005B3CC1">
          <w:pPr>
            <w:pStyle w:val="TOC1"/>
            <w:tabs>
              <w:tab w:val="left" w:pos="480"/>
              <w:tab w:val="right" w:leader="dot" w:pos="9016"/>
            </w:tabs>
            <w:rPr>
              <w:rFonts w:asciiTheme="minorHAnsi" w:eastAsiaTheme="minorEastAsia" w:hAnsiTheme="minorHAnsi"/>
              <w:noProof/>
              <w:sz w:val="22"/>
              <w:lang w:eastAsia="en-IN"/>
            </w:rPr>
          </w:pPr>
          <w:hyperlink w:anchor="_Toc152946064" w:history="1">
            <w:r w:rsidR="00701323" w:rsidRPr="00DE0388">
              <w:rPr>
                <w:rStyle w:val="Hyperlink"/>
                <w:noProof/>
              </w:rPr>
              <w:t>2.</w:t>
            </w:r>
            <w:r w:rsidR="00701323">
              <w:rPr>
                <w:rFonts w:asciiTheme="minorHAnsi" w:eastAsiaTheme="minorEastAsia" w:hAnsiTheme="minorHAnsi"/>
                <w:noProof/>
                <w:sz w:val="22"/>
                <w:lang w:eastAsia="en-IN"/>
              </w:rPr>
              <w:tab/>
            </w:r>
            <w:r w:rsidR="00701323" w:rsidRPr="00DE0388">
              <w:rPr>
                <w:rStyle w:val="Hyperlink"/>
                <w:noProof/>
              </w:rPr>
              <w:t>Methodology</w:t>
            </w:r>
            <w:r w:rsidR="00701323">
              <w:rPr>
                <w:noProof/>
                <w:webHidden/>
              </w:rPr>
              <w:tab/>
            </w:r>
            <w:r w:rsidR="00701323">
              <w:rPr>
                <w:noProof/>
                <w:webHidden/>
              </w:rPr>
              <w:fldChar w:fldCharType="begin"/>
            </w:r>
            <w:r w:rsidR="00701323">
              <w:rPr>
                <w:noProof/>
                <w:webHidden/>
              </w:rPr>
              <w:instrText xml:space="preserve"> PAGEREF _Toc152946064 \h </w:instrText>
            </w:r>
            <w:r w:rsidR="00701323">
              <w:rPr>
                <w:noProof/>
                <w:webHidden/>
              </w:rPr>
            </w:r>
            <w:r w:rsidR="00701323">
              <w:rPr>
                <w:noProof/>
                <w:webHidden/>
              </w:rPr>
              <w:fldChar w:fldCharType="separate"/>
            </w:r>
            <w:r w:rsidR="00701323">
              <w:rPr>
                <w:noProof/>
                <w:webHidden/>
              </w:rPr>
              <w:t>4</w:t>
            </w:r>
            <w:r w:rsidR="00701323">
              <w:rPr>
                <w:noProof/>
                <w:webHidden/>
              </w:rPr>
              <w:fldChar w:fldCharType="end"/>
            </w:r>
          </w:hyperlink>
        </w:p>
        <w:p w14:paraId="12124BC4" w14:textId="35B0FF34" w:rsidR="00701323" w:rsidRDefault="005B3CC1">
          <w:pPr>
            <w:pStyle w:val="TOC2"/>
            <w:tabs>
              <w:tab w:val="right" w:leader="dot" w:pos="9016"/>
            </w:tabs>
            <w:rPr>
              <w:rFonts w:asciiTheme="minorHAnsi" w:eastAsiaTheme="minorEastAsia" w:hAnsiTheme="minorHAnsi"/>
              <w:noProof/>
              <w:lang w:eastAsia="en-IN"/>
            </w:rPr>
          </w:pPr>
          <w:hyperlink w:anchor="_Toc152946065" w:history="1">
            <w:r w:rsidR="00701323" w:rsidRPr="00DE0388">
              <w:rPr>
                <w:rStyle w:val="Hyperlink"/>
                <w:noProof/>
              </w:rPr>
              <w:t>2.1  Extraction of Indirect Health Indicators</w:t>
            </w:r>
            <w:r w:rsidR="00701323">
              <w:rPr>
                <w:noProof/>
                <w:webHidden/>
              </w:rPr>
              <w:tab/>
            </w:r>
            <w:r w:rsidR="00701323">
              <w:rPr>
                <w:noProof/>
                <w:webHidden/>
              </w:rPr>
              <w:fldChar w:fldCharType="begin"/>
            </w:r>
            <w:r w:rsidR="00701323">
              <w:rPr>
                <w:noProof/>
                <w:webHidden/>
              </w:rPr>
              <w:instrText xml:space="preserve"> PAGEREF _Toc152946065 \h </w:instrText>
            </w:r>
            <w:r w:rsidR="00701323">
              <w:rPr>
                <w:noProof/>
                <w:webHidden/>
              </w:rPr>
            </w:r>
            <w:r w:rsidR="00701323">
              <w:rPr>
                <w:noProof/>
                <w:webHidden/>
              </w:rPr>
              <w:fldChar w:fldCharType="separate"/>
            </w:r>
            <w:r w:rsidR="00701323">
              <w:rPr>
                <w:noProof/>
                <w:webHidden/>
              </w:rPr>
              <w:t>4</w:t>
            </w:r>
            <w:r w:rsidR="00701323">
              <w:rPr>
                <w:noProof/>
                <w:webHidden/>
              </w:rPr>
              <w:fldChar w:fldCharType="end"/>
            </w:r>
          </w:hyperlink>
        </w:p>
        <w:p w14:paraId="62F14D2E" w14:textId="131CB212" w:rsidR="00701323" w:rsidRDefault="005B3CC1">
          <w:pPr>
            <w:pStyle w:val="TOC3"/>
            <w:tabs>
              <w:tab w:val="right" w:leader="dot" w:pos="9016"/>
            </w:tabs>
            <w:rPr>
              <w:rFonts w:asciiTheme="minorHAnsi" w:eastAsiaTheme="minorEastAsia" w:hAnsiTheme="minorHAnsi"/>
              <w:noProof/>
              <w:lang w:eastAsia="en-IN"/>
            </w:rPr>
          </w:pPr>
          <w:hyperlink w:anchor="_Toc152946066" w:history="1">
            <w:r w:rsidR="00701323" w:rsidRPr="00DE0388">
              <w:rPr>
                <w:rStyle w:val="Hyperlink"/>
                <w:noProof/>
              </w:rPr>
              <w:t>2.1.1  Experimental Data</w:t>
            </w:r>
            <w:r w:rsidR="00701323">
              <w:rPr>
                <w:noProof/>
                <w:webHidden/>
              </w:rPr>
              <w:tab/>
            </w:r>
            <w:r w:rsidR="00701323">
              <w:rPr>
                <w:noProof/>
                <w:webHidden/>
              </w:rPr>
              <w:fldChar w:fldCharType="begin"/>
            </w:r>
            <w:r w:rsidR="00701323">
              <w:rPr>
                <w:noProof/>
                <w:webHidden/>
              </w:rPr>
              <w:instrText xml:space="preserve"> PAGEREF _Toc152946066 \h </w:instrText>
            </w:r>
            <w:r w:rsidR="00701323">
              <w:rPr>
                <w:noProof/>
                <w:webHidden/>
              </w:rPr>
            </w:r>
            <w:r w:rsidR="00701323">
              <w:rPr>
                <w:noProof/>
                <w:webHidden/>
              </w:rPr>
              <w:fldChar w:fldCharType="separate"/>
            </w:r>
            <w:r w:rsidR="00701323">
              <w:rPr>
                <w:noProof/>
                <w:webHidden/>
              </w:rPr>
              <w:t>4</w:t>
            </w:r>
            <w:r w:rsidR="00701323">
              <w:rPr>
                <w:noProof/>
                <w:webHidden/>
              </w:rPr>
              <w:fldChar w:fldCharType="end"/>
            </w:r>
          </w:hyperlink>
        </w:p>
        <w:p w14:paraId="5E2AD9A4" w14:textId="3A19BFD7" w:rsidR="00701323" w:rsidRDefault="005B3CC1">
          <w:pPr>
            <w:pStyle w:val="TOC3"/>
            <w:tabs>
              <w:tab w:val="right" w:leader="dot" w:pos="9016"/>
            </w:tabs>
            <w:rPr>
              <w:rFonts w:asciiTheme="minorHAnsi" w:eastAsiaTheme="minorEastAsia" w:hAnsiTheme="minorHAnsi"/>
              <w:noProof/>
              <w:lang w:eastAsia="en-IN"/>
            </w:rPr>
          </w:pPr>
          <w:hyperlink w:anchor="_Toc152946067" w:history="1">
            <w:r w:rsidR="00701323" w:rsidRPr="00DE0388">
              <w:rPr>
                <w:rStyle w:val="Hyperlink"/>
                <w:noProof/>
              </w:rPr>
              <w:t>2.1.2  Extraction of Indirect Health Indicators</w:t>
            </w:r>
            <w:r w:rsidR="00701323">
              <w:rPr>
                <w:noProof/>
                <w:webHidden/>
              </w:rPr>
              <w:tab/>
            </w:r>
            <w:r w:rsidR="00701323">
              <w:rPr>
                <w:noProof/>
                <w:webHidden/>
              </w:rPr>
              <w:fldChar w:fldCharType="begin"/>
            </w:r>
            <w:r w:rsidR="00701323">
              <w:rPr>
                <w:noProof/>
                <w:webHidden/>
              </w:rPr>
              <w:instrText xml:space="preserve"> PAGEREF _Toc152946067 \h </w:instrText>
            </w:r>
            <w:r w:rsidR="00701323">
              <w:rPr>
                <w:noProof/>
                <w:webHidden/>
              </w:rPr>
            </w:r>
            <w:r w:rsidR="00701323">
              <w:rPr>
                <w:noProof/>
                <w:webHidden/>
              </w:rPr>
              <w:fldChar w:fldCharType="separate"/>
            </w:r>
            <w:r w:rsidR="00701323">
              <w:rPr>
                <w:noProof/>
                <w:webHidden/>
              </w:rPr>
              <w:t>5</w:t>
            </w:r>
            <w:r w:rsidR="00701323">
              <w:rPr>
                <w:noProof/>
                <w:webHidden/>
              </w:rPr>
              <w:fldChar w:fldCharType="end"/>
            </w:r>
          </w:hyperlink>
        </w:p>
        <w:p w14:paraId="2CEC530D" w14:textId="486AC676" w:rsidR="00701323" w:rsidRDefault="005B3CC1">
          <w:pPr>
            <w:pStyle w:val="TOC3"/>
            <w:tabs>
              <w:tab w:val="right" w:leader="dot" w:pos="9016"/>
            </w:tabs>
            <w:rPr>
              <w:rFonts w:asciiTheme="minorHAnsi" w:eastAsiaTheme="minorEastAsia" w:hAnsiTheme="minorHAnsi"/>
              <w:noProof/>
              <w:lang w:eastAsia="en-IN"/>
            </w:rPr>
          </w:pPr>
          <w:hyperlink w:anchor="_Toc152946068" w:history="1">
            <w:r w:rsidR="00701323" w:rsidRPr="00DE0388">
              <w:rPr>
                <w:rStyle w:val="Hyperlink"/>
                <w:noProof/>
              </w:rPr>
              <w:t>2.1.3  Grey Relational Analysis</w:t>
            </w:r>
            <w:r w:rsidR="00701323">
              <w:rPr>
                <w:noProof/>
                <w:webHidden/>
              </w:rPr>
              <w:tab/>
            </w:r>
            <w:r w:rsidR="00701323">
              <w:rPr>
                <w:noProof/>
                <w:webHidden/>
              </w:rPr>
              <w:fldChar w:fldCharType="begin"/>
            </w:r>
            <w:r w:rsidR="00701323">
              <w:rPr>
                <w:noProof/>
                <w:webHidden/>
              </w:rPr>
              <w:instrText xml:space="preserve"> PAGEREF _Toc152946068 \h </w:instrText>
            </w:r>
            <w:r w:rsidR="00701323">
              <w:rPr>
                <w:noProof/>
                <w:webHidden/>
              </w:rPr>
            </w:r>
            <w:r w:rsidR="00701323">
              <w:rPr>
                <w:noProof/>
                <w:webHidden/>
              </w:rPr>
              <w:fldChar w:fldCharType="separate"/>
            </w:r>
            <w:r w:rsidR="00701323">
              <w:rPr>
                <w:noProof/>
                <w:webHidden/>
              </w:rPr>
              <w:t>6</w:t>
            </w:r>
            <w:r w:rsidR="00701323">
              <w:rPr>
                <w:noProof/>
                <w:webHidden/>
              </w:rPr>
              <w:fldChar w:fldCharType="end"/>
            </w:r>
          </w:hyperlink>
        </w:p>
        <w:p w14:paraId="013AF7D6" w14:textId="68F6DDF7" w:rsidR="00701323" w:rsidRDefault="005B3CC1">
          <w:pPr>
            <w:pStyle w:val="TOC2"/>
            <w:tabs>
              <w:tab w:val="right" w:leader="dot" w:pos="9016"/>
            </w:tabs>
            <w:rPr>
              <w:rFonts w:asciiTheme="minorHAnsi" w:eastAsiaTheme="minorEastAsia" w:hAnsiTheme="minorHAnsi"/>
              <w:noProof/>
              <w:lang w:eastAsia="en-IN"/>
            </w:rPr>
          </w:pPr>
          <w:hyperlink w:anchor="_Toc152946069" w:history="1">
            <w:r w:rsidR="00701323" w:rsidRPr="00DE0388">
              <w:rPr>
                <w:rStyle w:val="Hyperlink"/>
                <w:noProof/>
              </w:rPr>
              <w:t>2.2. Gaussian Process Regression</w:t>
            </w:r>
            <w:r w:rsidR="00701323">
              <w:rPr>
                <w:noProof/>
                <w:webHidden/>
              </w:rPr>
              <w:tab/>
            </w:r>
            <w:r w:rsidR="00701323">
              <w:rPr>
                <w:noProof/>
                <w:webHidden/>
              </w:rPr>
              <w:fldChar w:fldCharType="begin"/>
            </w:r>
            <w:r w:rsidR="00701323">
              <w:rPr>
                <w:noProof/>
                <w:webHidden/>
              </w:rPr>
              <w:instrText xml:space="preserve"> PAGEREF _Toc152946069 \h </w:instrText>
            </w:r>
            <w:r w:rsidR="00701323">
              <w:rPr>
                <w:noProof/>
                <w:webHidden/>
              </w:rPr>
            </w:r>
            <w:r w:rsidR="00701323">
              <w:rPr>
                <w:noProof/>
                <w:webHidden/>
              </w:rPr>
              <w:fldChar w:fldCharType="separate"/>
            </w:r>
            <w:r w:rsidR="00701323">
              <w:rPr>
                <w:noProof/>
                <w:webHidden/>
              </w:rPr>
              <w:t>6</w:t>
            </w:r>
            <w:r w:rsidR="00701323">
              <w:rPr>
                <w:noProof/>
                <w:webHidden/>
              </w:rPr>
              <w:fldChar w:fldCharType="end"/>
            </w:r>
          </w:hyperlink>
        </w:p>
        <w:p w14:paraId="4E42859D" w14:textId="73D64082" w:rsidR="00701323" w:rsidRDefault="005B3CC1">
          <w:pPr>
            <w:pStyle w:val="TOC2"/>
            <w:tabs>
              <w:tab w:val="right" w:leader="dot" w:pos="9016"/>
            </w:tabs>
            <w:rPr>
              <w:rFonts w:asciiTheme="minorHAnsi" w:eastAsiaTheme="minorEastAsia" w:hAnsiTheme="minorHAnsi"/>
              <w:noProof/>
              <w:lang w:eastAsia="en-IN"/>
            </w:rPr>
          </w:pPr>
          <w:hyperlink w:anchor="_Toc152946070" w:history="1">
            <w:r w:rsidR="00701323" w:rsidRPr="00DE0388">
              <w:rPr>
                <w:rStyle w:val="Hyperlink"/>
                <w:noProof/>
              </w:rPr>
              <w:t>2.3  Experimental Analysis</w:t>
            </w:r>
            <w:r w:rsidR="00701323">
              <w:rPr>
                <w:noProof/>
                <w:webHidden/>
              </w:rPr>
              <w:tab/>
            </w:r>
            <w:r w:rsidR="00701323">
              <w:rPr>
                <w:noProof/>
                <w:webHidden/>
              </w:rPr>
              <w:fldChar w:fldCharType="begin"/>
            </w:r>
            <w:r w:rsidR="00701323">
              <w:rPr>
                <w:noProof/>
                <w:webHidden/>
              </w:rPr>
              <w:instrText xml:space="preserve"> PAGEREF _Toc152946070 \h </w:instrText>
            </w:r>
            <w:r w:rsidR="00701323">
              <w:rPr>
                <w:noProof/>
                <w:webHidden/>
              </w:rPr>
            </w:r>
            <w:r w:rsidR="00701323">
              <w:rPr>
                <w:noProof/>
                <w:webHidden/>
              </w:rPr>
              <w:fldChar w:fldCharType="separate"/>
            </w:r>
            <w:r w:rsidR="00701323">
              <w:rPr>
                <w:noProof/>
                <w:webHidden/>
              </w:rPr>
              <w:t>7</w:t>
            </w:r>
            <w:r w:rsidR="00701323">
              <w:rPr>
                <w:noProof/>
                <w:webHidden/>
              </w:rPr>
              <w:fldChar w:fldCharType="end"/>
            </w:r>
          </w:hyperlink>
        </w:p>
        <w:p w14:paraId="690CACB4" w14:textId="24460F18" w:rsidR="00701323" w:rsidRDefault="005B3CC1">
          <w:pPr>
            <w:pStyle w:val="TOC1"/>
            <w:tabs>
              <w:tab w:val="left" w:pos="480"/>
              <w:tab w:val="right" w:leader="dot" w:pos="9016"/>
            </w:tabs>
            <w:rPr>
              <w:rFonts w:asciiTheme="minorHAnsi" w:eastAsiaTheme="minorEastAsia" w:hAnsiTheme="minorHAnsi"/>
              <w:noProof/>
              <w:sz w:val="22"/>
              <w:lang w:eastAsia="en-IN"/>
            </w:rPr>
          </w:pPr>
          <w:hyperlink w:anchor="_Toc152946072" w:history="1">
            <w:r w:rsidR="00701323" w:rsidRPr="00DE0388">
              <w:rPr>
                <w:rStyle w:val="Hyperlink"/>
                <w:noProof/>
              </w:rPr>
              <w:t>3.</w:t>
            </w:r>
            <w:r w:rsidR="00701323">
              <w:rPr>
                <w:rFonts w:asciiTheme="minorHAnsi" w:eastAsiaTheme="minorEastAsia" w:hAnsiTheme="minorHAnsi"/>
                <w:noProof/>
                <w:sz w:val="22"/>
                <w:lang w:eastAsia="en-IN"/>
              </w:rPr>
              <w:tab/>
            </w:r>
            <w:r w:rsidR="00701323" w:rsidRPr="00DE0388">
              <w:rPr>
                <w:rStyle w:val="Hyperlink"/>
                <w:noProof/>
              </w:rPr>
              <w:t>Concluding Remarks</w:t>
            </w:r>
            <w:r w:rsidR="00701323">
              <w:rPr>
                <w:noProof/>
                <w:webHidden/>
              </w:rPr>
              <w:tab/>
            </w:r>
            <w:r w:rsidR="00701323">
              <w:rPr>
                <w:noProof/>
                <w:webHidden/>
              </w:rPr>
              <w:fldChar w:fldCharType="begin"/>
            </w:r>
            <w:r w:rsidR="00701323">
              <w:rPr>
                <w:noProof/>
                <w:webHidden/>
              </w:rPr>
              <w:instrText xml:space="preserve"> PAGEREF _Toc152946072 \h </w:instrText>
            </w:r>
            <w:r w:rsidR="00701323">
              <w:rPr>
                <w:noProof/>
                <w:webHidden/>
              </w:rPr>
            </w:r>
            <w:r w:rsidR="00701323">
              <w:rPr>
                <w:noProof/>
                <w:webHidden/>
              </w:rPr>
              <w:fldChar w:fldCharType="separate"/>
            </w:r>
            <w:r w:rsidR="00701323">
              <w:rPr>
                <w:noProof/>
                <w:webHidden/>
              </w:rPr>
              <w:t>11</w:t>
            </w:r>
            <w:r w:rsidR="00701323">
              <w:rPr>
                <w:noProof/>
                <w:webHidden/>
              </w:rPr>
              <w:fldChar w:fldCharType="end"/>
            </w:r>
          </w:hyperlink>
        </w:p>
        <w:p w14:paraId="264A6470" w14:textId="412BA986" w:rsidR="00701323" w:rsidRDefault="005B3CC1">
          <w:pPr>
            <w:pStyle w:val="TOC1"/>
            <w:tabs>
              <w:tab w:val="left" w:pos="480"/>
              <w:tab w:val="right" w:leader="dot" w:pos="9016"/>
            </w:tabs>
            <w:rPr>
              <w:rFonts w:asciiTheme="minorHAnsi" w:eastAsiaTheme="minorEastAsia" w:hAnsiTheme="minorHAnsi"/>
              <w:noProof/>
              <w:sz w:val="22"/>
              <w:lang w:eastAsia="en-IN"/>
            </w:rPr>
          </w:pPr>
          <w:hyperlink w:anchor="_Toc152946073" w:history="1">
            <w:r w:rsidR="00701323" w:rsidRPr="00DE0388">
              <w:rPr>
                <w:rStyle w:val="Hyperlink"/>
                <w:noProof/>
              </w:rPr>
              <w:t>4.</w:t>
            </w:r>
            <w:r w:rsidR="00701323">
              <w:rPr>
                <w:rFonts w:asciiTheme="minorHAnsi" w:eastAsiaTheme="minorEastAsia" w:hAnsiTheme="minorHAnsi"/>
                <w:noProof/>
                <w:sz w:val="22"/>
                <w:lang w:eastAsia="en-IN"/>
              </w:rPr>
              <w:tab/>
            </w:r>
            <w:r w:rsidR="00701323" w:rsidRPr="00DE0388">
              <w:rPr>
                <w:rStyle w:val="Hyperlink"/>
                <w:noProof/>
              </w:rPr>
              <w:t>Future Work</w:t>
            </w:r>
            <w:r w:rsidR="00701323">
              <w:rPr>
                <w:noProof/>
                <w:webHidden/>
              </w:rPr>
              <w:tab/>
            </w:r>
            <w:r w:rsidR="00701323">
              <w:rPr>
                <w:noProof/>
                <w:webHidden/>
              </w:rPr>
              <w:fldChar w:fldCharType="begin"/>
            </w:r>
            <w:r w:rsidR="00701323">
              <w:rPr>
                <w:noProof/>
                <w:webHidden/>
              </w:rPr>
              <w:instrText xml:space="preserve"> PAGEREF _Toc152946073 \h </w:instrText>
            </w:r>
            <w:r w:rsidR="00701323">
              <w:rPr>
                <w:noProof/>
                <w:webHidden/>
              </w:rPr>
            </w:r>
            <w:r w:rsidR="00701323">
              <w:rPr>
                <w:noProof/>
                <w:webHidden/>
              </w:rPr>
              <w:fldChar w:fldCharType="separate"/>
            </w:r>
            <w:r w:rsidR="00701323">
              <w:rPr>
                <w:noProof/>
                <w:webHidden/>
              </w:rPr>
              <w:t>12</w:t>
            </w:r>
            <w:r w:rsidR="00701323">
              <w:rPr>
                <w:noProof/>
                <w:webHidden/>
              </w:rPr>
              <w:fldChar w:fldCharType="end"/>
            </w:r>
          </w:hyperlink>
        </w:p>
        <w:p w14:paraId="0EFBD782" w14:textId="58ED962D" w:rsidR="00701323" w:rsidRDefault="005B3CC1">
          <w:pPr>
            <w:pStyle w:val="TOC1"/>
            <w:tabs>
              <w:tab w:val="right" w:leader="dot" w:pos="9016"/>
            </w:tabs>
            <w:rPr>
              <w:rFonts w:asciiTheme="minorHAnsi" w:eastAsiaTheme="minorEastAsia" w:hAnsiTheme="minorHAnsi"/>
              <w:noProof/>
              <w:sz w:val="22"/>
              <w:lang w:eastAsia="en-IN"/>
            </w:rPr>
          </w:pPr>
          <w:hyperlink w:anchor="_Toc152946074" w:history="1">
            <w:r w:rsidR="00701323" w:rsidRPr="00DE0388">
              <w:rPr>
                <w:rStyle w:val="Hyperlink"/>
                <w:noProof/>
              </w:rPr>
              <w:t>References</w:t>
            </w:r>
            <w:r w:rsidR="00701323">
              <w:rPr>
                <w:noProof/>
                <w:webHidden/>
              </w:rPr>
              <w:tab/>
            </w:r>
            <w:r w:rsidR="00701323">
              <w:rPr>
                <w:noProof/>
                <w:webHidden/>
              </w:rPr>
              <w:fldChar w:fldCharType="begin"/>
            </w:r>
            <w:r w:rsidR="00701323">
              <w:rPr>
                <w:noProof/>
                <w:webHidden/>
              </w:rPr>
              <w:instrText xml:space="preserve"> PAGEREF _Toc152946074 \h </w:instrText>
            </w:r>
            <w:r w:rsidR="00701323">
              <w:rPr>
                <w:noProof/>
                <w:webHidden/>
              </w:rPr>
            </w:r>
            <w:r w:rsidR="00701323">
              <w:rPr>
                <w:noProof/>
                <w:webHidden/>
              </w:rPr>
              <w:fldChar w:fldCharType="separate"/>
            </w:r>
            <w:r w:rsidR="00701323">
              <w:rPr>
                <w:noProof/>
                <w:webHidden/>
              </w:rPr>
              <w:t>13</w:t>
            </w:r>
            <w:r w:rsidR="00701323">
              <w:rPr>
                <w:noProof/>
                <w:webHidden/>
              </w:rPr>
              <w:fldChar w:fldCharType="end"/>
            </w:r>
          </w:hyperlink>
        </w:p>
        <w:p w14:paraId="10F408B1" w14:textId="0F77A330" w:rsidR="00676CEB" w:rsidRDefault="00676CEB" w:rsidP="00676CEB">
          <w:pPr>
            <w:rPr>
              <w:bCs/>
              <w:noProof/>
            </w:rPr>
          </w:pPr>
          <w:r w:rsidRPr="00026C7F">
            <w:fldChar w:fldCharType="end"/>
          </w:r>
        </w:p>
      </w:sdtContent>
    </w:sdt>
    <w:p w14:paraId="094DDB4C" w14:textId="09C87868" w:rsidR="00676CEB" w:rsidRPr="006C08E5" w:rsidRDefault="00676CEB">
      <w:pPr>
        <w:rPr>
          <w:b/>
          <w:bCs/>
          <w:sz w:val="36"/>
          <w:szCs w:val="32"/>
        </w:rPr>
      </w:pPr>
      <w:r>
        <w:rPr>
          <w:b/>
          <w:bCs/>
          <w:sz w:val="36"/>
          <w:szCs w:val="32"/>
        </w:rPr>
        <w:br w:type="page"/>
      </w:r>
    </w:p>
    <w:p w14:paraId="2DE75E37" w14:textId="3C043ABB" w:rsidR="00CB0D84" w:rsidRPr="00C85F7A" w:rsidRDefault="00B965C4" w:rsidP="00733A43">
      <w:pPr>
        <w:pStyle w:val="Heading1"/>
        <w:numPr>
          <w:ilvl w:val="0"/>
          <w:numId w:val="0"/>
        </w:numPr>
        <w:ind w:left="360" w:hanging="360"/>
        <w:rPr>
          <w:sz w:val="40"/>
          <w:szCs w:val="36"/>
        </w:rPr>
      </w:pPr>
      <w:bookmarkStart w:id="3" w:name="_Toc152946058"/>
      <w:r w:rsidRPr="00C85F7A">
        <w:lastRenderedPageBreak/>
        <w:t>Abstract</w:t>
      </w:r>
      <w:bookmarkEnd w:id="3"/>
    </w:p>
    <w:p w14:paraId="4EF1D610" w14:textId="52BC646A" w:rsidR="00B965C4" w:rsidRPr="00026C7F" w:rsidRDefault="00B965C4" w:rsidP="00B965C4">
      <w:pPr>
        <w:rPr>
          <w:rFonts w:cs="Arial"/>
          <w:b/>
          <w:bCs/>
          <w:lang w:val="en-US"/>
        </w:rPr>
      </w:pPr>
    </w:p>
    <w:p w14:paraId="20BBDD4D" w14:textId="0B29EABC" w:rsidR="00594119" w:rsidRDefault="0086231E" w:rsidP="007352BF">
      <w:pPr>
        <w:spacing w:line="276" w:lineRule="auto"/>
        <w:jc w:val="both"/>
      </w:pPr>
      <w:r w:rsidRPr="00026C7F">
        <w:rPr>
          <w:rFonts w:cs="Arial"/>
          <w:lang w:val="en-US"/>
        </w:rPr>
        <w:tab/>
      </w:r>
      <w:bookmarkStart w:id="4" w:name="_Hlk152238489"/>
      <w:r w:rsidR="00BA08BD" w:rsidRPr="00BA08BD">
        <w:t>The battery capacity is typically used to forecast the state of health (SOH), one of the most significant factors. For online applications, it is challenging to measure lithium-ion battery capacity directly. In this study, indirect health indicators (IHIs) that are responsive to the process of battery capacity deterioration are taken from the voltage, current, and temperature curves during the charging and discharging of lithium-ion batteries.</w:t>
      </w:r>
      <w:r w:rsidR="00BA08BD">
        <w:t xml:space="preserve"> </w:t>
      </w:r>
      <w:r w:rsidR="00BA08BD" w:rsidRPr="00BA08BD">
        <w:t xml:space="preserve">The Gray relation analysis approach selects a small number of suitable indicators to use as the inputs for SOH prediction. Probability forecasts are combined with the Gaussian process regression (GPR) approach to perform the short-term SOH prediction. Subsequently, taking into account a specific mapping relationship between SOH, the GPR model is employed to estimate </w:t>
      </w:r>
      <w:r w:rsidR="00635A22">
        <w:t xml:space="preserve">the </w:t>
      </w:r>
      <w:r w:rsidR="00BA08BD">
        <w:t xml:space="preserve">SOH </w:t>
      </w:r>
      <w:r w:rsidR="00BA08BD" w:rsidRPr="00BA08BD">
        <w:t>of lithium-ion batteries using three IHIs. The outcomes demonstrate the excellent forecast accuracy of the suggested strategy.</w:t>
      </w:r>
    </w:p>
    <w:p w14:paraId="4E9762CA" w14:textId="77777777" w:rsidR="0090392A" w:rsidRDefault="0090392A" w:rsidP="00594119">
      <w:pPr>
        <w:ind w:left="5"/>
        <w:rPr>
          <w:b/>
        </w:rPr>
      </w:pPr>
    </w:p>
    <w:bookmarkEnd w:id="4"/>
    <w:p w14:paraId="2B4117AE" w14:textId="5233F581" w:rsidR="00DC23B3" w:rsidRDefault="00BA08BD" w:rsidP="008774D4">
      <w:pPr>
        <w:spacing w:line="276" w:lineRule="auto"/>
        <w:rPr>
          <w:rFonts w:eastAsiaTheme="majorEastAsia" w:cs="Arial"/>
          <w:b/>
          <w:sz w:val="36"/>
          <w:szCs w:val="44"/>
          <w:lang w:val="en-US"/>
        </w:rPr>
      </w:pPr>
      <w:r w:rsidRPr="00BA08BD">
        <w:rPr>
          <w:b/>
          <w:bCs/>
        </w:rPr>
        <w:t>Keywords</w:t>
      </w:r>
      <w:r>
        <w:t>: lithium-ion batteries; state of health; remaining useful life; indirect health indicator; grey relation analysis; Gaussian process regression</w:t>
      </w:r>
      <w:r w:rsidR="00DC23B3">
        <w:br w:type="page"/>
      </w:r>
    </w:p>
    <w:p w14:paraId="259518D5" w14:textId="060B630E" w:rsidR="0006728F" w:rsidRDefault="001C05A3" w:rsidP="00594119">
      <w:pPr>
        <w:pStyle w:val="Heading1"/>
        <w:numPr>
          <w:ilvl w:val="0"/>
          <w:numId w:val="0"/>
        </w:numPr>
      </w:pPr>
      <w:bookmarkStart w:id="5" w:name="_Toc152946059"/>
      <w:r w:rsidRPr="00C85F7A">
        <w:lastRenderedPageBreak/>
        <w:t>Abbreviations</w:t>
      </w:r>
      <w:bookmarkEnd w:id="5"/>
      <w:r w:rsidR="0006728F" w:rsidRPr="00C85F7A">
        <w:t xml:space="preserve"> </w:t>
      </w:r>
    </w:p>
    <w:p w14:paraId="7DE3B9F8" w14:textId="47E3C5F6" w:rsidR="00AA621B" w:rsidRDefault="00AA621B" w:rsidP="00AA621B">
      <w:pPr>
        <w:rPr>
          <w:lang w:val="en-US"/>
        </w:rPr>
      </w:pPr>
    </w:p>
    <w:p w14:paraId="082E4729" w14:textId="456E3E50" w:rsidR="00AA621B" w:rsidRDefault="00AA621B" w:rsidP="00AA621B">
      <w:pPr>
        <w:rPr>
          <w:lang w:val="en-US"/>
        </w:rPr>
      </w:pP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8"/>
        <w:gridCol w:w="3226"/>
        <w:gridCol w:w="2752"/>
      </w:tblGrid>
      <w:tr w:rsidR="00CF2FFB" w:rsidRPr="00CF2FFB" w14:paraId="136B840E" w14:textId="711E2774" w:rsidTr="00CF2FFB">
        <w:tc>
          <w:tcPr>
            <w:tcW w:w="3038" w:type="dxa"/>
          </w:tcPr>
          <w:p w14:paraId="029F8C84" w14:textId="793214A2" w:rsidR="00CF2FFB" w:rsidRPr="00CF2FFB" w:rsidRDefault="00CF2FFB" w:rsidP="004E0C93">
            <w:pPr>
              <w:jc w:val="center"/>
              <w:rPr>
                <w:b/>
                <w:lang w:val="en-US"/>
              </w:rPr>
            </w:pPr>
            <w:r w:rsidRPr="00CF2FFB">
              <w:rPr>
                <w:b/>
                <w:lang w:val="en-US"/>
              </w:rPr>
              <w:t>S.no</w:t>
            </w:r>
          </w:p>
        </w:tc>
        <w:tc>
          <w:tcPr>
            <w:tcW w:w="3226" w:type="dxa"/>
          </w:tcPr>
          <w:p w14:paraId="649A9A2C" w14:textId="352D59D8" w:rsidR="00CF2FFB" w:rsidRPr="00CF2FFB" w:rsidRDefault="00CF2FFB" w:rsidP="004E0C93">
            <w:pPr>
              <w:tabs>
                <w:tab w:val="left" w:pos="2085"/>
              </w:tabs>
              <w:jc w:val="center"/>
              <w:rPr>
                <w:b/>
              </w:rPr>
            </w:pPr>
            <w:r w:rsidRPr="00CF2FFB">
              <w:rPr>
                <w:b/>
                <w:lang w:val="en-US"/>
              </w:rPr>
              <w:t>Name</w:t>
            </w:r>
          </w:p>
        </w:tc>
        <w:tc>
          <w:tcPr>
            <w:tcW w:w="2752" w:type="dxa"/>
          </w:tcPr>
          <w:p w14:paraId="13171D10" w14:textId="46F0B418" w:rsidR="00CF2FFB" w:rsidRPr="00CF2FFB" w:rsidRDefault="00CF2FFB" w:rsidP="004E0C93">
            <w:pPr>
              <w:tabs>
                <w:tab w:val="left" w:pos="2085"/>
              </w:tabs>
              <w:jc w:val="center"/>
              <w:rPr>
                <w:b/>
              </w:rPr>
            </w:pPr>
            <w:r w:rsidRPr="00CF2FFB">
              <w:rPr>
                <w:b/>
              </w:rPr>
              <w:t>Abbreviations</w:t>
            </w:r>
          </w:p>
          <w:p w14:paraId="3A781F18" w14:textId="77777777" w:rsidR="00CF2FFB" w:rsidRPr="00CF2FFB" w:rsidRDefault="00CF2FFB" w:rsidP="004E0C93">
            <w:pPr>
              <w:tabs>
                <w:tab w:val="left" w:pos="2085"/>
              </w:tabs>
              <w:jc w:val="center"/>
              <w:rPr>
                <w:b/>
              </w:rPr>
            </w:pPr>
          </w:p>
        </w:tc>
      </w:tr>
      <w:tr w:rsidR="00CF2FFB" w14:paraId="7F646D04" w14:textId="77777777" w:rsidTr="00CF2FFB">
        <w:tc>
          <w:tcPr>
            <w:tcW w:w="3038" w:type="dxa"/>
          </w:tcPr>
          <w:p w14:paraId="41219F91" w14:textId="2B6A286E" w:rsidR="00CF2FFB" w:rsidRDefault="00CF2FFB" w:rsidP="004E0C93">
            <w:pPr>
              <w:jc w:val="center"/>
              <w:rPr>
                <w:lang w:val="en-US"/>
              </w:rPr>
            </w:pPr>
            <w:r>
              <w:rPr>
                <w:lang w:val="en-US"/>
              </w:rPr>
              <w:t>1</w:t>
            </w:r>
          </w:p>
        </w:tc>
        <w:tc>
          <w:tcPr>
            <w:tcW w:w="3226" w:type="dxa"/>
          </w:tcPr>
          <w:p w14:paraId="41F35EB5" w14:textId="508A0435" w:rsidR="00CF2FFB" w:rsidRDefault="00CF2FFB" w:rsidP="004E0C93">
            <w:pPr>
              <w:tabs>
                <w:tab w:val="left" w:pos="2085"/>
              </w:tabs>
              <w:jc w:val="center"/>
              <w:rPr>
                <w:lang w:val="en-US"/>
              </w:rPr>
            </w:pPr>
            <w:r>
              <w:rPr>
                <w:lang w:val="en-US"/>
              </w:rPr>
              <w:t>SOH</w:t>
            </w:r>
          </w:p>
        </w:tc>
        <w:tc>
          <w:tcPr>
            <w:tcW w:w="2752" w:type="dxa"/>
          </w:tcPr>
          <w:p w14:paraId="59D03EA4" w14:textId="77777777" w:rsidR="00CF2FFB" w:rsidRDefault="00CF2FFB" w:rsidP="004E0C93">
            <w:pPr>
              <w:tabs>
                <w:tab w:val="left" w:pos="2085"/>
              </w:tabs>
              <w:jc w:val="center"/>
            </w:pPr>
            <w:r>
              <w:t>State of Health</w:t>
            </w:r>
          </w:p>
          <w:p w14:paraId="30852836" w14:textId="77777777" w:rsidR="00CF2FFB" w:rsidRDefault="00CF2FFB" w:rsidP="004E0C93">
            <w:pPr>
              <w:tabs>
                <w:tab w:val="left" w:pos="2085"/>
              </w:tabs>
              <w:jc w:val="center"/>
            </w:pPr>
          </w:p>
        </w:tc>
      </w:tr>
      <w:tr w:rsidR="00CF2FFB" w14:paraId="4E0593B5" w14:textId="1F926F7C" w:rsidTr="00CF2FFB">
        <w:trPr>
          <w:trHeight w:val="609"/>
        </w:trPr>
        <w:tc>
          <w:tcPr>
            <w:tcW w:w="3038" w:type="dxa"/>
          </w:tcPr>
          <w:p w14:paraId="1EB5CE6D" w14:textId="43EF8F11" w:rsidR="00CF2FFB" w:rsidRPr="00CF2FFB" w:rsidRDefault="00CF2FFB" w:rsidP="004E0C93">
            <w:pPr>
              <w:jc w:val="center"/>
            </w:pPr>
            <w:r>
              <w:t>2</w:t>
            </w:r>
          </w:p>
        </w:tc>
        <w:tc>
          <w:tcPr>
            <w:tcW w:w="3226" w:type="dxa"/>
          </w:tcPr>
          <w:p w14:paraId="608C6878" w14:textId="4A9AF04D" w:rsidR="00CF2FFB" w:rsidRDefault="00CF2FFB" w:rsidP="004E0C93">
            <w:pPr>
              <w:tabs>
                <w:tab w:val="left" w:pos="2085"/>
              </w:tabs>
              <w:jc w:val="center"/>
            </w:pPr>
            <w:r>
              <w:t>IHI</w:t>
            </w:r>
          </w:p>
        </w:tc>
        <w:tc>
          <w:tcPr>
            <w:tcW w:w="2752" w:type="dxa"/>
          </w:tcPr>
          <w:p w14:paraId="1AB94F6C" w14:textId="2C40D2F4" w:rsidR="00CF2FFB" w:rsidRDefault="00CF2FFB" w:rsidP="004E0C93">
            <w:pPr>
              <w:tabs>
                <w:tab w:val="left" w:pos="2085"/>
              </w:tabs>
              <w:jc w:val="center"/>
            </w:pPr>
            <w:r>
              <w:t>Indirect Health Indicators</w:t>
            </w:r>
          </w:p>
        </w:tc>
      </w:tr>
      <w:tr w:rsidR="00CF2FFB" w14:paraId="08CF5403" w14:textId="5117557B" w:rsidTr="00CF2FFB">
        <w:trPr>
          <w:trHeight w:val="595"/>
        </w:trPr>
        <w:tc>
          <w:tcPr>
            <w:tcW w:w="3038" w:type="dxa"/>
          </w:tcPr>
          <w:p w14:paraId="470073ED" w14:textId="0F61AACC" w:rsidR="00CF2FFB" w:rsidRDefault="00CF2FFB" w:rsidP="004E0C93">
            <w:pPr>
              <w:jc w:val="center"/>
              <w:rPr>
                <w:lang w:val="en-US"/>
              </w:rPr>
            </w:pPr>
            <w:r>
              <w:t>3</w:t>
            </w:r>
          </w:p>
        </w:tc>
        <w:tc>
          <w:tcPr>
            <w:tcW w:w="3226" w:type="dxa"/>
          </w:tcPr>
          <w:p w14:paraId="1C724945" w14:textId="350195E9" w:rsidR="00CF2FFB" w:rsidRDefault="00CF2FFB" w:rsidP="004E0C93">
            <w:pPr>
              <w:jc w:val="center"/>
            </w:pPr>
            <w:r>
              <w:t>GPR</w:t>
            </w:r>
          </w:p>
        </w:tc>
        <w:tc>
          <w:tcPr>
            <w:tcW w:w="2752" w:type="dxa"/>
          </w:tcPr>
          <w:p w14:paraId="7E0C2A5C" w14:textId="5E2EFEAC" w:rsidR="00CF2FFB" w:rsidRDefault="00CF2FFB" w:rsidP="004E0C93">
            <w:pPr>
              <w:jc w:val="center"/>
            </w:pPr>
            <w:r>
              <w:t>Gaussian Process Regression</w:t>
            </w:r>
          </w:p>
        </w:tc>
      </w:tr>
      <w:tr w:rsidR="00CF2FFB" w14:paraId="044AD97B" w14:textId="6ACDA503" w:rsidTr="00CF2FFB">
        <w:trPr>
          <w:trHeight w:val="558"/>
        </w:trPr>
        <w:tc>
          <w:tcPr>
            <w:tcW w:w="3038" w:type="dxa"/>
          </w:tcPr>
          <w:p w14:paraId="14D6B2F6" w14:textId="1B35B5AA" w:rsidR="00CF2FFB" w:rsidRDefault="00CF2FFB" w:rsidP="004E0C93">
            <w:pPr>
              <w:jc w:val="center"/>
              <w:rPr>
                <w:lang w:val="en-US"/>
              </w:rPr>
            </w:pPr>
            <w:r>
              <w:t>4</w:t>
            </w:r>
          </w:p>
        </w:tc>
        <w:tc>
          <w:tcPr>
            <w:tcW w:w="3226" w:type="dxa"/>
          </w:tcPr>
          <w:p w14:paraId="0AB957E1" w14:textId="18E0E09E" w:rsidR="00CF2FFB" w:rsidRPr="00F31AA2" w:rsidRDefault="00CF2FFB" w:rsidP="004E0C93">
            <w:pPr>
              <w:jc w:val="center"/>
            </w:pPr>
            <w:r>
              <w:t>RMSE</w:t>
            </w:r>
          </w:p>
        </w:tc>
        <w:tc>
          <w:tcPr>
            <w:tcW w:w="2752" w:type="dxa"/>
          </w:tcPr>
          <w:p w14:paraId="32F4D0F3" w14:textId="4BED03B2" w:rsidR="00CF2FFB" w:rsidRPr="00F31AA2" w:rsidRDefault="00CF2FFB" w:rsidP="004E0C93">
            <w:pPr>
              <w:jc w:val="center"/>
            </w:pPr>
            <w:r w:rsidRPr="00F31AA2">
              <w:t>Root Mean Square Error</w:t>
            </w:r>
          </w:p>
        </w:tc>
      </w:tr>
      <w:tr w:rsidR="00CF2FFB" w14:paraId="756B30E8" w14:textId="35BF154E" w:rsidTr="00CF2FFB">
        <w:trPr>
          <w:trHeight w:val="566"/>
        </w:trPr>
        <w:tc>
          <w:tcPr>
            <w:tcW w:w="3038" w:type="dxa"/>
          </w:tcPr>
          <w:p w14:paraId="1F39ACFE" w14:textId="36E42FB4" w:rsidR="00CF2FFB" w:rsidRDefault="00CF2FFB" w:rsidP="004E0C93">
            <w:pPr>
              <w:jc w:val="center"/>
            </w:pPr>
            <w:r>
              <w:t>5</w:t>
            </w:r>
          </w:p>
        </w:tc>
        <w:tc>
          <w:tcPr>
            <w:tcW w:w="3226" w:type="dxa"/>
          </w:tcPr>
          <w:p w14:paraId="0815C359" w14:textId="4E8AAAF1" w:rsidR="00CF2FFB" w:rsidRPr="00F31AA2" w:rsidRDefault="00CF2FFB" w:rsidP="004E0C93">
            <w:pPr>
              <w:jc w:val="center"/>
            </w:pPr>
            <w:r>
              <w:t>MAPE</w:t>
            </w:r>
          </w:p>
        </w:tc>
        <w:tc>
          <w:tcPr>
            <w:tcW w:w="2752" w:type="dxa"/>
          </w:tcPr>
          <w:p w14:paraId="39FC09E9" w14:textId="5EB39D20" w:rsidR="00CF2FFB" w:rsidRPr="00F31AA2" w:rsidRDefault="00CF2FFB" w:rsidP="004E0C93">
            <w:pPr>
              <w:jc w:val="center"/>
            </w:pPr>
            <w:r w:rsidRPr="00F31AA2">
              <w:t>Mean Absolute Percentage Error</w:t>
            </w:r>
          </w:p>
        </w:tc>
      </w:tr>
    </w:tbl>
    <w:p w14:paraId="315960A6" w14:textId="77777777" w:rsidR="00AA621B" w:rsidRPr="00AA621B" w:rsidRDefault="00AA621B" w:rsidP="00AA621B">
      <w:pPr>
        <w:rPr>
          <w:lang w:val="en-US"/>
        </w:rPr>
      </w:pPr>
    </w:p>
    <w:p w14:paraId="7ACA5FD9" w14:textId="63484C3D" w:rsidR="00F31AA2" w:rsidRDefault="00F31AA2" w:rsidP="006C08E5">
      <w:pPr>
        <w:tabs>
          <w:tab w:val="left" w:pos="2085"/>
        </w:tabs>
        <w:jc w:val="both"/>
      </w:pPr>
    </w:p>
    <w:p w14:paraId="21DF9F24" w14:textId="77777777" w:rsidR="00F31AA2" w:rsidRPr="00F31AA2" w:rsidRDefault="00F31AA2" w:rsidP="00F31AA2">
      <w:pPr>
        <w:tabs>
          <w:tab w:val="left" w:pos="2085"/>
        </w:tabs>
        <w:ind w:left="360"/>
        <w:jc w:val="both"/>
      </w:pPr>
    </w:p>
    <w:p w14:paraId="627F3DCE" w14:textId="5D3E9E16" w:rsidR="002E6310" w:rsidRDefault="002E6310">
      <w:pPr>
        <w:rPr>
          <w:rFonts w:cs="Arial"/>
          <w:lang w:val="en-US"/>
        </w:rPr>
      </w:pPr>
      <w:r>
        <w:rPr>
          <w:rFonts w:cs="Arial"/>
          <w:lang w:val="en-US"/>
        </w:rPr>
        <w:br w:type="page"/>
      </w:r>
    </w:p>
    <w:p w14:paraId="04B76CBD" w14:textId="12294A31" w:rsidR="005E56C1" w:rsidRPr="00026C7F" w:rsidRDefault="00D41193" w:rsidP="00E7131A">
      <w:pPr>
        <w:pStyle w:val="Heading1"/>
        <w:numPr>
          <w:ilvl w:val="0"/>
          <w:numId w:val="0"/>
        </w:numPr>
        <w:ind w:left="360" w:hanging="360"/>
        <w:rPr>
          <w:sz w:val="24"/>
          <w:szCs w:val="22"/>
        </w:rPr>
      </w:pPr>
      <w:r>
        <w:lastRenderedPageBreak/>
        <w:t xml:space="preserve">   </w:t>
      </w:r>
      <w:bookmarkStart w:id="6" w:name="_Toc152946060"/>
      <w:r w:rsidR="005E56C1" w:rsidRPr="00026C7F">
        <w:t xml:space="preserve">List of </w:t>
      </w:r>
      <w:r w:rsidR="00E9384E" w:rsidRPr="00026C7F">
        <w:t>Tables</w:t>
      </w:r>
      <w:bookmarkEnd w:id="6"/>
    </w:p>
    <w:tbl>
      <w:tblPr>
        <w:tblStyle w:val="TableGrid"/>
        <w:tblpPr w:leftFromText="180" w:rightFromText="180" w:vertAnchor="text" w:horzAnchor="margin" w:tblpY="803"/>
        <w:tblW w:w="8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
        <w:gridCol w:w="5189"/>
        <w:gridCol w:w="2826"/>
      </w:tblGrid>
      <w:tr w:rsidR="00BA08BD" w14:paraId="6A1E3988" w14:textId="77777777" w:rsidTr="00CF2FFB">
        <w:trPr>
          <w:trHeight w:val="607"/>
        </w:trPr>
        <w:tc>
          <w:tcPr>
            <w:tcW w:w="794" w:type="dxa"/>
          </w:tcPr>
          <w:p w14:paraId="6D27D4C6" w14:textId="5ED88125" w:rsidR="00BA08BD" w:rsidRPr="00F3148A" w:rsidRDefault="00BA08BD" w:rsidP="004E0C93">
            <w:pPr>
              <w:jc w:val="center"/>
              <w:rPr>
                <w:rFonts w:cs="Arial"/>
                <w:b/>
                <w:bCs/>
                <w:noProof/>
              </w:rPr>
            </w:pPr>
            <w:r w:rsidRPr="00F3148A">
              <w:rPr>
                <w:rFonts w:cs="Arial"/>
                <w:b/>
                <w:bCs/>
                <w:noProof/>
              </w:rPr>
              <w:t>S.</w:t>
            </w:r>
            <w:r w:rsidR="006F2CE8" w:rsidRPr="00F3148A">
              <w:rPr>
                <w:rFonts w:cs="Arial"/>
                <w:b/>
                <w:bCs/>
                <w:noProof/>
              </w:rPr>
              <w:t>N</w:t>
            </w:r>
            <w:r w:rsidRPr="00F3148A">
              <w:rPr>
                <w:rFonts w:cs="Arial"/>
                <w:b/>
                <w:bCs/>
                <w:noProof/>
              </w:rPr>
              <w:t>o</w:t>
            </w:r>
          </w:p>
        </w:tc>
        <w:tc>
          <w:tcPr>
            <w:tcW w:w="5189" w:type="dxa"/>
          </w:tcPr>
          <w:p w14:paraId="2C1A98AE" w14:textId="7242F9A5" w:rsidR="00BA08BD" w:rsidRPr="00F3148A" w:rsidRDefault="001E20EE" w:rsidP="004E0C93">
            <w:pPr>
              <w:jc w:val="center"/>
              <w:rPr>
                <w:rFonts w:cs="Arial"/>
                <w:b/>
                <w:bCs/>
                <w:noProof/>
              </w:rPr>
            </w:pPr>
            <w:r w:rsidRPr="00F3148A">
              <w:rPr>
                <w:rFonts w:cs="Arial"/>
                <w:b/>
                <w:bCs/>
                <w:noProof/>
              </w:rPr>
              <w:t>Name</w:t>
            </w:r>
          </w:p>
        </w:tc>
        <w:tc>
          <w:tcPr>
            <w:tcW w:w="2826" w:type="dxa"/>
          </w:tcPr>
          <w:p w14:paraId="136022A8" w14:textId="7F213535" w:rsidR="00BA08BD" w:rsidRPr="00F3148A" w:rsidRDefault="00BA08BD" w:rsidP="00CF2FFB">
            <w:pPr>
              <w:jc w:val="center"/>
              <w:rPr>
                <w:rFonts w:cs="Arial"/>
                <w:b/>
                <w:bCs/>
                <w:noProof/>
              </w:rPr>
            </w:pPr>
            <w:r w:rsidRPr="00F3148A">
              <w:rPr>
                <w:rFonts w:cs="Arial"/>
                <w:b/>
                <w:bCs/>
                <w:noProof/>
              </w:rPr>
              <w:t>Pg</w:t>
            </w:r>
            <w:r w:rsidR="001E20EE" w:rsidRPr="00F3148A">
              <w:rPr>
                <w:rFonts w:cs="Arial"/>
                <w:b/>
                <w:bCs/>
                <w:noProof/>
              </w:rPr>
              <w:t>.</w:t>
            </w:r>
            <w:r w:rsidRPr="00F3148A">
              <w:rPr>
                <w:rFonts w:cs="Arial"/>
                <w:b/>
                <w:bCs/>
                <w:noProof/>
              </w:rPr>
              <w:t xml:space="preserve"> no</w:t>
            </w:r>
          </w:p>
        </w:tc>
      </w:tr>
      <w:tr w:rsidR="00BA08BD" w14:paraId="2C1B2559" w14:textId="77777777" w:rsidTr="00CF2FFB">
        <w:trPr>
          <w:trHeight w:val="607"/>
        </w:trPr>
        <w:tc>
          <w:tcPr>
            <w:tcW w:w="794" w:type="dxa"/>
          </w:tcPr>
          <w:p w14:paraId="688A4AC2" w14:textId="38CCC8FA" w:rsidR="00BA08BD" w:rsidRDefault="00D56861" w:rsidP="004E0C93">
            <w:pPr>
              <w:jc w:val="center"/>
              <w:rPr>
                <w:rFonts w:cs="Arial"/>
                <w:noProof/>
              </w:rPr>
            </w:pPr>
            <w:r>
              <w:rPr>
                <w:rFonts w:cs="Arial"/>
                <w:noProof/>
              </w:rPr>
              <w:t>1.</w:t>
            </w:r>
          </w:p>
        </w:tc>
        <w:tc>
          <w:tcPr>
            <w:tcW w:w="5189" w:type="dxa"/>
          </w:tcPr>
          <w:p w14:paraId="1C62E9D1" w14:textId="0E7024BB" w:rsidR="00BA08BD" w:rsidRDefault="00BA08BD" w:rsidP="004E0C93">
            <w:pPr>
              <w:jc w:val="center"/>
              <w:rPr>
                <w:rFonts w:cs="Arial"/>
                <w:noProof/>
              </w:rPr>
            </w:pPr>
            <w:r>
              <w:rPr>
                <w:rFonts w:cs="Arial"/>
                <w:noProof/>
              </w:rPr>
              <w:t>Correlation Table</w:t>
            </w:r>
          </w:p>
        </w:tc>
        <w:tc>
          <w:tcPr>
            <w:tcW w:w="2826" w:type="dxa"/>
          </w:tcPr>
          <w:p w14:paraId="19B0BBA3" w14:textId="75EE63D5" w:rsidR="00BA08BD" w:rsidRDefault="00D81AA3" w:rsidP="00CF2FFB">
            <w:pPr>
              <w:jc w:val="center"/>
              <w:rPr>
                <w:rFonts w:cs="Arial"/>
                <w:noProof/>
              </w:rPr>
            </w:pPr>
            <w:r>
              <w:rPr>
                <w:rFonts w:cs="Arial"/>
                <w:noProof/>
              </w:rPr>
              <w:t>7</w:t>
            </w:r>
          </w:p>
        </w:tc>
      </w:tr>
      <w:tr w:rsidR="00BA08BD" w14:paraId="67EF76D7" w14:textId="77777777" w:rsidTr="00CF2FFB">
        <w:trPr>
          <w:trHeight w:val="579"/>
        </w:trPr>
        <w:tc>
          <w:tcPr>
            <w:tcW w:w="794" w:type="dxa"/>
          </w:tcPr>
          <w:p w14:paraId="28748599" w14:textId="2346E81A" w:rsidR="00BA08BD" w:rsidRDefault="00D56861" w:rsidP="004E0C93">
            <w:pPr>
              <w:jc w:val="center"/>
              <w:rPr>
                <w:rFonts w:cs="Arial"/>
                <w:noProof/>
              </w:rPr>
            </w:pPr>
            <w:r>
              <w:rPr>
                <w:rFonts w:cs="Arial"/>
                <w:noProof/>
              </w:rPr>
              <w:t>2.</w:t>
            </w:r>
          </w:p>
        </w:tc>
        <w:tc>
          <w:tcPr>
            <w:tcW w:w="5189" w:type="dxa"/>
          </w:tcPr>
          <w:p w14:paraId="19361640" w14:textId="7F3DE216" w:rsidR="00BA08BD" w:rsidRDefault="006F2CE8" w:rsidP="004E0C93">
            <w:pPr>
              <w:jc w:val="center"/>
              <w:rPr>
                <w:rFonts w:cs="Arial"/>
                <w:noProof/>
              </w:rPr>
            </w:pPr>
            <w:r>
              <w:rPr>
                <w:rFonts w:cs="Arial"/>
                <w:noProof/>
              </w:rPr>
              <w:t>Prediction</w:t>
            </w:r>
            <w:r w:rsidR="00D56861">
              <w:rPr>
                <w:rFonts w:cs="Arial"/>
                <w:noProof/>
              </w:rPr>
              <w:t xml:space="preserve"> Performance</w:t>
            </w:r>
          </w:p>
        </w:tc>
        <w:tc>
          <w:tcPr>
            <w:tcW w:w="2826" w:type="dxa"/>
          </w:tcPr>
          <w:p w14:paraId="4B005CA8" w14:textId="19658235" w:rsidR="00BA08BD" w:rsidRDefault="00D81AA3" w:rsidP="00CF2FFB">
            <w:pPr>
              <w:jc w:val="center"/>
              <w:rPr>
                <w:rFonts w:cs="Arial"/>
                <w:noProof/>
              </w:rPr>
            </w:pPr>
            <w:r>
              <w:rPr>
                <w:rFonts w:cs="Arial"/>
                <w:noProof/>
              </w:rPr>
              <w:t>2</w:t>
            </w:r>
          </w:p>
        </w:tc>
      </w:tr>
    </w:tbl>
    <w:p w14:paraId="7356C5C2" w14:textId="1F0D798D" w:rsidR="003A7EFD" w:rsidRPr="00026C7F" w:rsidRDefault="003A7EFD" w:rsidP="00BA08BD">
      <w:pPr>
        <w:rPr>
          <w:rFonts w:cs="Arial"/>
          <w:lang w:val="en-US"/>
        </w:rPr>
      </w:pPr>
    </w:p>
    <w:p w14:paraId="024F470A" w14:textId="77777777" w:rsidR="00EC14C9" w:rsidRDefault="00EC14C9" w:rsidP="00BA08BD">
      <w:pPr>
        <w:jc w:val="both"/>
        <w:rPr>
          <w:rFonts w:cs="Arial"/>
          <w:noProof/>
        </w:rPr>
      </w:pPr>
    </w:p>
    <w:p w14:paraId="58E8C734" w14:textId="77777777" w:rsidR="00EC14C9" w:rsidRDefault="00EC14C9" w:rsidP="003F2AEE">
      <w:pPr>
        <w:jc w:val="both"/>
        <w:rPr>
          <w:rFonts w:cs="Arial"/>
          <w:noProof/>
        </w:rPr>
      </w:pPr>
    </w:p>
    <w:p w14:paraId="3E990F58" w14:textId="77777777" w:rsidR="00872DD5" w:rsidRDefault="00872DD5" w:rsidP="00872DD5">
      <w:pPr>
        <w:jc w:val="both"/>
        <w:rPr>
          <w:rFonts w:cs="Arial"/>
          <w:noProof/>
        </w:rPr>
      </w:pPr>
    </w:p>
    <w:p w14:paraId="727DA75F" w14:textId="77777777" w:rsidR="00872DD5" w:rsidRDefault="00872DD5" w:rsidP="003F2AEE">
      <w:pPr>
        <w:jc w:val="both"/>
        <w:rPr>
          <w:rFonts w:cs="Arial"/>
          <w:noProof/>
        </w:rPr>
      </w:pPr>
    </w:p>
    <w:p w14:paraId="7EA80D29" w14:textId="77777777" w:rsidR="00872DD5" w:rsidRDefault="00872DD5" w:rsidP="003F2AEE">
      <w:pPr>
        <w:jc w:val="both"/>
        <w:rPr>
          <w:rFonts w:cs="Arial"/>
          <w:noProof/>
        </w:rPr>
      </w:pPr>
    </w:p>
    <w:p w14:paraId="24D85C34" w14:textId="54970A0E" w:rsidR="00DC23B3" w:rsidRPr="006C08E5" w:rsidRDefault="00DC23B3" w:rsidP="006C08E5">
      <w:pPr>
        <w:jc w:val="both"/>
        <w:rPr>
          <w:rFonts w:cs="Arial"/>
          <w:lang w:val="en-US"/>
        </w:rPr>
      </w:pPr>
      <w:r>
        <w:br w:type="page"/>
      </w:r>
    </w:p>
    <w:p w14:paraId="443AFB42" w14:textId="0D270782" w:rsidR="002667B6" w:rsidRPr="00026C7F" w:rsidRDefault="00895BF9" w:rsidP="006C08E5">
      <w:pPr>
        <w:pStyle w:val="Heading1"/>
        <w:numPr>
          <w:ilvl w:val="0"/>
          <w:numId w:val="0"/>
        </w:numPr>
        <w:ind w:left="360" w:hanging="360"/>
      </w:pPr>
      <w:bookmarkStart w:id="7" w:name="_Toc152946061"/>
      <w:r w:rsidRPr="00026C7F">
        <w:lastRenderedPageBreak/>
        <w:t>List of Figures</w:t>
      </w:r>
      <w:bookmarkEnd w:id="7"/>
    </w:p>
    <w:p w14:paraId="32D229A0" w14:textId="0377DE9A" w:rsidR="00872DD5" w:rsidRPr="00026C7F" w:rsidRDefault="00872DD5" w:rsidP="00872DD5">
      <w:pPr>
        <w:jc w:val="both"/>
        <w:rPr>
          <w:rFonts w:cs="Arial"/>
          <w:lang w:val="en-US"/>
        </w:rPr>
      </w:pPr>
    </w:p>
    <w:tbl>
      <w:tblPr>
        <w:tblStyle w:val="TableGrid"/>
        <w:tblpPr w:leftFromText="180" w:rightFromText="180" w:vertAnchor="page" w:horzAnchor="margin" w:tblpY="2521"/>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9"/>
        <w:gridCol w:w="7019"/>
        <w:gridCol w:w="1437"/>
      </w:tblGrid>
      <w:tr w:rsidR="006C08E5" w14:paraId="00A743E1" w14:textId="77777777" w:rsidTr="00CF2FFB">
        <w:trPr>
          <w:trHeight w:val="540"/>
        </w:trPr>
        <w:tc>
          <w:tcPr>
            <w:tcW w:w="1039" w:type="dxa"/>
          </w:tcPr>
          <w:p w14:paraId="6D2C4D04" w14:textId="77777777" w:rsidR="006C08E5" w:rsidRPr="00606C4A" w:rsidRDefault="006C08E5" w:rsidP="004E0C93">
            <w:pPr>
              <w:jc w:val="center"/>
              <w:rPr>
                <w:rFonts w:cs="Arial"/>
                <w:b/>
                <w:bCs/>
                <w:lang w:val="en-US"/>
              </w:rPr>
            </w:pPr>
            <w:proofErr w:type="spellStart"/>
            <w:r w:rsidRPr="00606C4A">
              <w:rPr>
                <w:rFonts w:cs="Arial"/>
                <w:b/>
                <w:bCs/>
                <w:lang w:val="en-US"/>
              </w:rPr>
              <w:t>S.No</w:t>
            </w:r>
            <w:proofErr w:type="spellEnd"/>
          </w:p>
        </w:tc>
        <w:tc>
          <w:tcPr>
            <w:tcW w:w="7019" w:type="dxa"/>
          </w:tcPr>
          <w:p w14:paraId="57938564" w14:textId="04176320" w:rsidR="006C08E5" w:rsidRPr="00606C4A" w:rsidRDefault="006C08E5" w:rsidP="004E0C93">
            <w:pPr>
              <w:jc w:val="center"/>
              <w:rPr>
                <w:rFonts w:cs="Arial"/>
                <w:b/>
                <w:bCs/>
                <w:lang w:val="en-US"/>
              </w:rPr>
            </w:pPr>
            <w:r w:rsidRPr="00606C4A">
              <w:rPr>
                <w:rFonts w:cs="Arial"/>
                <w:b/>
                <w:bCs/>
                <w:lang w:val="en-US"/>
              </w:rPr>
              <w:t>Name</w:t>
            </w:r>
          </w:p>
        </w:tc>
        <w:tc>
          <w:tcPr>
            <w:tcW w:w="1437" w:type="dxa"/>
          </w:tcPr>
          <w:p w14:paraId="51713FBE" w14:textId="77777777" w:rsidR="006C08E5" w:rsidRPr="00606C4A" w:rsidRDefault="006C08E5" w:rsidP="004E0C93">
            <w:pPr>
              <w:jc w:val="center"/>
              <w:rPr>
                <w:rFonts w:cs="Arial"/>
                <w:b/>
                <w:bCs/>
                <w:lang w:val="en-US"/>
              </w:rPr>
            </w:pPr>
            <w:r w:rsidRPr="00606C4A">
              <w:rPr>
                <w:rFonts w:cs="Arial"/>
                <w:b/>
                <w:bCs/>
                <w:lang w:val="en-US"/>
              </w:rPr>
              <w:t>Pg. No</w:t>
            </w:r>
          </w:p>
        </w:tc>
      </w:tr>
      <w:tr w:rsidR="006C08E5" w14:paraId="2AD9C150" w14:textId="77777777" w:rsidTr="00CF2FFB">
        <w:trPr>
          <w:trHeight w:val="570"/>
        </w:trPr>
        <w:tc>
          <w:tcPr>
            <w:tcW w:w="1039" w:type="dxa"/>
          </w:tcPr>
          <w:p w14:paraId="2BE3B8C6" w14:textId="77777777" w:rsidR="006C08E5" w:rsidRPr="007E01A6" w:rsidRDefault="006C08E5" w:rsidP="004E0C93">
            <w:pPr>
              <w:jc w:val="center"/>
              <w:rPr>
                <w:rFonts w:cs="Arial"/>
                <w:lang w:val="en-US"/>
              </w:rPr>
            </w:pPr>
            <w:r>
              <w:rPr>
                <w:rFonts w:cs="Arial"/>
                <w:lang w:val="en-US"/>
              </w:rPr>
              <w:t>1</w:t>
            </w:r>
          </w:p>
        </w:tc>
        <w:tc>
          <w:tcPr>
            <w:tcW w:w="7019" w:type="dxa"/>
          </w:tcPr>
          <w:p w14:paraId="5A3459F2" w14:textId="77777777" w:rsidR="006C08E5" w:rsidRDefault="006C08E5" w:rsidP="004E0C93">
            <w:pPr>
              <w:jc w:val="center"/>
              <w:rPr>
                <w:rFonts w:cs="Arial"/>
                <w:lang w:val="en-US"/>
              </w:rPr>
            </w:pPr>
            <w:r>
              <w:rPr>
                <w:rFonts w:cs="Arial"/>
                <w:lang w:val="en-US"/>
              </w:rPr>
              <w:t>Capacity degradation curves of batteries</w:t>
            </w:r>
          </w:p>
        </w:tc>
        <w:tc>
          <w:tcPr>
            <w:tcW w:w="1437" w:type="dxa"/>
          </w:tcPr>
          <w:p w14:paraId="256B9256" w14:textId="77777777" w:rsidR="006C08E5" w:rsidRDefault="006C08E5" w:rsidP="004E0C93">
            <w:pPr>
              <w:jc w:val="center"/>
              <w:rPr>
                <w:rFonts w:cs="Arial"/>
                <w:lang w:val="en-US"/>
              </w:rPr>
            </w:pPr>
            <w:r>
              <w:rPr>
                <w:rFonts w:cs="Arial"/>
                <w:lang w:val="en-US"/>
              </w:rPr>
              <w:t>5</w:t>
            </w:r>
          </w:p>
        </w:tc>
      </w:tr>
      <w:tr w:rsidR="006C08E5" w14:paraId="21F8826F" w14:textId="77777777" w:rsidTr="00CF2FFB">
        <w:trPr>
          <w:trHeight w:val="540"/>
        </w:trPr>
        <w:tc>
          <w:tcPr>
            <w:tcW w:w="1039" w:type="dxa"/>
          </w:tcPr>
          <w:p w14:paraId="7ED9EC41" w14:textId="77777777" w:rsidR="006C08E5" w:rsidRDefault="006C08E5" w:rsidP="004E0C93">
            <w:pPr>
              <w:jc w:val="center"/>
              <w:rPr>
                <w:rFonts w:cs="Arial"/>
                <w:lang w:val="en-US"/>
              </w:rPr>
            </w:pPr>
            <w:r>
              <w:rPr>
                <w:rFonts w:cs="Arial"/>
                <w:lang w:val="en-US"/>
              </w:rPr>
              <w:t>2</w:t>
            </w:r>
          </w:p>
        </w:tc>
        <w:tc>
          <w:tcPr>
            <w:tcW w:w="7019" w:type="dxa"/>
          </w:tcPr>
          <w:p w14:paraId="094983C9" w14:textId="77777777" w:rsidR="006C08E5" w:rsidRPr="00373118" w:rsidRDefault="006C08E5" w:rsidP="004E0C93">
            <w:pPr>
              <w:jc w:val="center"/>
              <w:rPr>
                <w:rFonts w:cs="Arial"/>
                <w:lang w:val="en-US"/>
              </w:rPr>
            </w:pPr>
            <w:r w:rsidRPr="00373118">
              <w:t xml:space="preserve">Discharging voltage curves of No. 5 with different </w:t>
            </w:r>
            <w:proofErr w:type="spellStart"/>
            <w:r w:rsidRPr="00373118">
              <w:t>cyc</w:t>
            </w:r>
            <w:proofErr w:type="spellEnd"/>
            <w:r w:rsidRPr="00373118">
              <w:rPr>
                <w:noProof/>
                <w:lang w:val="en-US"/>
              </w:rPr>
              <w:t>les</w:t>
            </w:r>
          </w:p>
        </w:tc>
        <w:tc>
          <w:tcPr>
            <w:tcW w:w="1437" w:type="dxa"/>
          </w:tcPr>
          <w:p w14:paraId="64516765" w14:textId="77777777" w:rsidR="006C08E5" w:rsidRDefault="006C08E5" w:rsidP="004E0C93">
            <w:pPr>
              <w:jc w:val="center"/>
              <w:rPr>
                <w:rFonts w:cs="Arial"/>
                <w:lang w:val="en-US"/>
              </w:rPr>
            </w:pPr>
            <w:r>
              <w:rPr>
                <w:rFonts w:cs="Arial"/>
                <w:lang w:val="en-US"/>
              </w:rPr>
              <w:t>7</w:t>
            </w:r>
          </w:p>
        </w:tc>
      </w:tr>
      <w:tr w:rsidR="006C08E5" w14:paraId="0E569247" w14:textId="77777777" w:rsidTr="00CF2FFB">
        <w:trPr>
          <w:trHeight w:val="767"/>
        </w:trPr>
        <w:tc>
          <w:tcPr>
            <w:tcW w:w="1039" w:type="dxa"/>
          </w:tcPr>
          <w:p w14:paraId="55B08FA6" w14:textId="77777777" w:rsidR="006C08E5" w:rsidRDefault="006C08E5" w:rsidP="004E0C93">
            <w:pPr>
              <w:jc w:val="center"/>
              <w:rPr>
                <w:rFonts w:cs="Arial"/>
                <w:lang w:val="en-US"/>
              </w:rPr>
            </w:pPr>
            <w:r>
              <w:rPr>
                <w:rFonts w:cs="Arial"/>
                <w:lang w:val="en-US"/>
              </w:rPr>
              <w:t>3</w:t>
            </w:r>
          </w:p>
        </w:tc>
        <w:tc>
          <w:tcPr>
            <w:tcW w:w="7019" w:type="dxa"/>
          </w:tcPr>
          <w:p w14:paraId="7183BD67" w14:textId="77777777" w:rsidR="006C08E5" w:rsidRPr="00373118" w:rsidRDefault="006C08E5" w:rsidP="004E0C93">
            <w:pPr>
              <w:jc w:val="center"/>
              <w:rPr>
                <w:rFonts w:cs="Arial"/>
                <w:lang w:val="en-US"/>
              </w:rPr>
            </w:pPr>
            <w:r w:rsidRPr="00373118">
              <w:t>Discharging temperature curves of No. 5 with different cycles</w:t>
            </w:r>
          </w:p>
        </w:tc>
        <w:tc>
          <w:tcPr>
            <w:tcW w:w="1437" w:type="dxa"/>
          </w:tcPr>
          <w:p w14:paraId="6605FA0C" w14:textId="77777777" w:rsidR="006C08E5" w:rsidRDefault="006C08E5" w:rsidP="004E0C93">
            <w:pPr>
              <w:jc w:val="center"/>
              <w:rPr>
                <w:rFonts w:cs="Arial"/>
                <w:lang w:val="en-US"/>
              </w:rPr>
            </w:pPr>
            <w:r>
              <w:rPr>
                <w:rFonts w:cs="Arial"/>
                <w:lang w:val="en-US"/>
              </w:rPr>
              <w:t>7</w:t>
            </w:r>
          </w:p>
        </w:tc>
      </w:tr>
      <w:tr w:rsidR="006C08E5" w14:paraId="09CDB9C0" w14:textId="77777777" w:rsidTr="00CF2FFB">
        <w:trPr>
          <w:trHeight w:val="767"/>
        </w:trPr>
        <w:tc>
          <w:tcPr>
            <w:tcW w:w="1039" w:type="dxa"/>
          </w:tcPr>
          <w:p w14:paraId="2A366132" w14:textId="77777777" w:rsidR="006C08E5" w:rsidRDefault="006C08E5" w:rsidP="004E0C93">
            <w:pPr>
              <w:jc w:val="center"/>
              <w:rPr>
                <w:rFonts w:cs="Arial"/>
                <w:lang w:val="en-US"/>
              </w:rPr>
            </w:pPr>
            <w:r>
              <w:rPr>
                <w:rFonts w:cs="Arial"/>
                <w:lang w:val="en-US"/>
              </w:rPr>
              <w:t>4</w:t>
            </w:r>
          </w:p>
        </w:tc>
        <w:tc>
          <w:tcPr>
            <w:tcW w:w="7019" w:type="dxa"/>
          </w:tcPr>
          <w:p w14:paraId="033B85DF" w14:textId="1042834B" w:rsidR="006C08E5" w:rsidRPr="00373118" w:rsidRDefault="006C08E5" w:rsidP="004E0C93">
            <w:pPr>
              <w:tabs>
                <w:tab w:val="left" w:pos="6405"/>
              </w:tabs>
              <w:jc w:val="center"/>
            </w:pPr>
            <w:r w:rsidRPr="005B2C4A">
              <w:t>Schematic diagram of the proposed GPR method for prediction</w:t>
            </w:r>
          </w:p>
        </w:tc>
        <w:tc>
          <w:tcPr>
            <w:tcW w:w="1437" w:type="dxa"/>
          </w:tcPr>
          <w:p w14:paraId="1D8B7329" w14:textId="77777777" w:rsidR="006C08E5" w:rsidRDefault="006C08E5" w:rsidP="004E0C93">
            <w:pPr>
              <w:jc w:val="center"/>
              <w:rPr>
                <w:rFonts w:cs="Arial"/>
                <w:lang w:val="en-US"/>
              </w:rPr>
            </w:pPr>
            <w:r>
              <w:rPr>
                <w:rFonts w:cs="Arial"/>
                <w:lang w:val="en-US"/>
              </w:rPr>
              <w:t>8</w:t>
            </w:r>
          </w:p>
        </w:tc>
      </w:tr>
      <w:tr w:rsidR="006C08E5" w:rsidRPr="00606C4A" w14:paraId="62D2894D" w14:textId="77777777" w:rsidTr="00CF2FFB">
        <w:trPr>
          <w:trHeight w:val="767"/>
        </w:trPr>
        <w:tc>
          <w:tcPr>
            <w:tcW w:w="1039" w:type="dxa"/>
          </w:tcPr>
          <w:p w14:paraId="345BBAAA" w14:textId="77777777" w:rsidR="006C08E5" w:rsidRDefault="006C08E5" w:rsidP="004E0C93">
            <w:pPr>
              <w:jc w:val="center"/>
              <w:rPr>
                <w:rFonts w:cs="Arial"/>
                <w:lang w:val="en-US"/>
              </w:rPr>
            </w:pPr>
            <w:r>
              <w:rPr>
                <w:rFonts w:cs="Arial"/>
                <w:lang w:val="en-US"/>
              </w:rPr>
              <w:t>5</w:t>
            </w:r>
          </w:p>
        </w:tc>
        <w:tc>
          <w:tcPr>
            <w:tcW w:w="7019" w:type="dxa"/>
          </w:tcPr>
          <w:p w14:paraId="3E14E346" w14:textId="77777777" w:rsidR="006C08E5" w:rsidRPr="007B1909" w:rsidRDefault="006C08E5" w:rsidP="004E0C93">
            <w:pPr>
              <w:jc w:val="center"/>
              <w:rPr>
                <w:lang w:val="en-US"/>
              </w:rPr>
            </w:pPr>
            <w:r w:rsidRPr="007B1909">
              <w:rPr>
                <w:bCs/>
                <w:lang w:val="en-US"/>
              </w:rPr>
              <w:t xml:space="preserve">SP at </w:t>
            </w:r>
            <w:r>
              <w:rPr>
                <w:bCs/>
                <w:lang w:val="en-US"/>
              </w:rPr>
              <w:t xml:space="preserve"> </w:t>
            </w:r>
            <w:r w:rsidRPr="007B1909">
              <w:rPr>
                <w:bCs/>
                <w:lang w:val="en-US"/>
              </w:rPr>
              <w:t xml:space="preserve">SOH prediction result of battery </w:t>
            </w:r>
            <w:r w:rsidRPr="007B1909">
              <w:rPr>
                <w:lang w:val="en-US"/>
              </w:rPr>
              <w:t xml:space="preserve">: </w:t>
            </w:r>
            <w:r w:rsidRPr="007B1909">
              <w:rPr>
                <w:bCs/>
                <w:lang w:val="en-US"/>
              </w:rPr>
              <w:t>No. 5 SP =  50 ;  No.6 SP = 50</w:t>
            </w:r>
          </w:p>
          <w:p w14:paraId="425FD443" w14:textId="77777777" w:rsidR="006C08E5" w:rsidRPr="00E724C4" w:rsidRDefault="006C08E5" w:rsidP="004E0C93">
            <w:pPr>
              <w:jc w:val="center"/>
              <w:rPr>
                <w:color w:val="000000" w:themeColor="text1"/>
              </w:rPr>
            </w:pPr>
          </w:p>
        </w:tc>
        <w:tc>
          <w:tcPr>
            <w:tcW w:w="1437" w:type="dxa"/>
          </w:tcPr>
          <w:p w14:paraId="715EF464" w14:textId="77777777" w:rsidR="006C08E5" w:rsidRPr="00E724C4" w:rsidRDefault="006C08E5" w:rsidP="004E0C93">
            <w:pPr>
              <w:jc w:val="center"/>
              <w:rPr>
                <w:rFonts w:cs="Arial"/>
                <w:color w:val="000000" w:themeColor="text1"/>
                <w:lang w:val="en-US"/>
              </w:rPr>
            </w:pPr>
            <w:r w:rsidRPr="00E724C4">
              <w:rPr>
                <w:rFonts w:cs="Arial"/>
                <w:color w:val="000000" w:themeColor="text1"/>
                <w:lang w:val="en-US"/>
              </w:rPr>
              <w:t>9</w:t>
            </w:r>
          </w:p>
        </w:tc>
      </w:tr>
      <w:tr w:rsidR="006C08E5" w:rsidRPr="00606C4A" w14:paraId="077A4570" w14:textId="77777777" w:rsidTr="00CF2FFB">
        <w:trPr>
          <w:trHeight w:val="767"/>
        </w:trPr>
        <w:tc>
          <w:tcPr>
            <w:tcW w:w="1039" w:type="dxa"/>
          </w:tcPr>
          <w:p w14:paraId="41EA3B3F" w14:textId="77777777" w:rsidR="006C08E5" w:rsidRDefault="006C08E5" w:rsidP="004E0C93">
            <w:pPr>
              <w:jc w:val="center"/>
              <w:rPr>
                <w:rFonts w:cs="Arial"/>
                <w:lang w:val="en-US"/>
              </w:rPr>
            </w:pPr>
            <w:r>
              <w:rPr>
                <w:rFonts w:cs="Arial"/>
                <w:lang w:val="en-US"/>
              </w:rPr>
              <w:t>6</w:t>
            </w:r>
          </w:p>
        </w:tc>
        <w:tc>
          <w:tcPr>
            <w:tcW w:w="7019" w:type="dxa"/>
          </w:tcPr>
          <w:p w14:paraId="51EFA56B" w14:textId="77777777" w:rsidR="006C08E5" w:rsidRPr="007B1909" w:rsidRDefault="006C08E5" w:rsidP="004E0C93">
            <w:pPr>
              <w:jc w:val="center"/>
              <w:rPr>
                <w:lang w:val="en-US"/>
              </w:rPr>
            </w:pPr>
            <w:r w:rsidRPr="007B1909">
              <w:rPr>
                <w:bCs/>
                <w:lang w:val="en-US"/>
              </w:rPr>
              <w:t>SP at</w:t>
            </w:r>
            <w:r>
              <w:rPr>
                <w:bCs/>
                <w:lang w:val="en-US"/>
              </w:rPr>
              <w:t xml:space="preserve"> </w:t>
            </w:r>
            <w:r w:rsidRPr="007B1909">
              <w:rPr>
                <w:bCs/>
                <w:lang w:val="en-US"/>
              </w:rPr>
              <w:t xml:space="preserve"> SOH prediction result of battery </w:t>
            </w:r>
            <w:r w:rsidRPr="007B1909">
              <w:rPr>
                <w:lang w:val="en-US"/>
              </w:rPr>
              <w:t xml:space="preserve">: </w:t>
            </w:r>
            <w:r w:rsidRPr="007B1909">
              <w:rPr>
                <w:bCs/>
                <w:lang w:val="en-US"/>
              </w:rPr>
              <w:t xml:space="preserve">No. 5 SP =  </w:t>
            </w:r>
            <w:r>
              <w:rPr>
                <w:bCs/>
                <w:lang w:val="en-US"/>
              </w:rPr>
              <w:t>75</w:t>
            </w:r>
            <w:r w:rsidRPr="007B1909">
              <w:rPr>
                <w:bCs/>
                <w:lang w:val="en-US"/>
              </w:rPr>
              <w:t xml:space="preserve"> ;  No.6 </w:t>
            </w:r>
            <w:r>
              <w:rPr>
                <w:bCs/>
                <w:lang w:val="en-US"/>
              </w:rPr>
              <w:t>SP = 75</w:t>
            </w:r>
          </w:p>
          <w:p w14:paraId="71A9E949" w14:textId="77777777" w:rsidR="006C08E5" w:rsidRPr="00E724C4" w:rsidRDefault="006C08E5" w:rsidP="004E0C93">
            <w:pPr>
              <w:jc w:val="center"/>
              <w:rPr>
                <w:color w:val="000000" w:themeColor="text1"/>
              </w:rPr>
            </w:pPr>
          </w:p>
        </w:tc>
        <w:tc>
          <w:tcPr>
            <w:tcW w:w="1437" w:type="dxa"/>
          </w:tcPr>
          <w:p w14:paraId="1E67998C" w14:textId="77777777" w:rsidR="006C08E5" w:rsidRPr="00E724C4" w:rsidRDefault="006C08E5" w:rsidP="004E0C93">
            <w:pPr>
              <w:jc w:val="center"/>
              <w:rPr>
                <w:rFonts w:cs="Arial"/>
                <w:color w:val="000000" w:themeColor="text1"/>
                <w:lang w:val="en-US"/>
              </w:rPr>
            </w:pPr>
            <w:r w:rsidRPr="00E724C4">
              <w:rPr>
                <w:rFonts w:cs="Arial"/>
                <w:color w:val="000000" w:themeColor="text1"/>
                <w:lang w:val="en-US"/>
              </w:rPr>
              <w:t>9</w:t>
            </w:r>
          </w:p>
        </w:tc>
      </w:tr>
      <w:tr w:rsidR="006C08E5" w:rsidRPr="00606C4A" w14:paraId="4B975030" w14:textId="77777777" w:rsidTr="00CF2FFB">
        <w:trPr>
          <w:trHeight w:val="767"/>
        </w:trPr>
        <w:tc>
          <w:tcPr>
            <w:tcW w:w="1039" w:type="dxa"/>
          </w:tcPr>
          <w:p w14:paraId="78C6884A" w14:textId="77777777" w:rsidR="006C08E5" w:rsidRDefault="006C08E5" w:rsidP="004E0C93">
            <w:pPr>
              <w:jc w:val="center"/>
              <w:rPr>
                <w:rFonts w:cs="Arial"/>
                <w:lang w:val="en-US"/>
              </w:rPr>
            </w:pPr>
            <w:r>
              <w:rPr>
                <w:rFonts w:cs="Arial"/>
                <w:lang w:val="en-US"/>
              </w:rPr>
              <w:t>7</w:t>
            </w:r>
          </w:p>
        </w:tc>
        <w:tc>
          <w:tcPr>
            <w:tcW w:w="7019" w:type="dxa"/>
          </w:tcPr>
          <w:p w14:paraId="73677E55" w14:textId="77777777" w:rsidR="006C08E5" w:rsidRPr="00E724C4" w:rsidRDefault="006C08E5" w:rsidP="004E0C93">
            <w:pPr>
              <w:jc w:val="center"/>
              <w:rPr>
                <w:color w:val="000000" w:themeColor="text1"/>
              </w:rPr>
            </w:pPr>
            <w:r w:rsidRPr="007B1909">
              <w:rPr>
                <w:bCs/>
                <w:lang w:val="en-US"/>
              </w:rPr>
              <w:t xml:space="preserve">SP at SOH prediction result of battery </w:t>
            </w:r>
            <w:r w:rsidRPr="007B1909">
              <w:rPr>
                <w:lang w:val="en-US"/>
              </w:rPr>
              <w:t xml:space="preserve">: </w:t>
            </w:r>
            <w:r w:rsidRPr="007B1909">
              <w:rPr>
                <w:bCs/>
                <w:lang w:val="en-US"/>
              </w:rPr>
              <w:t>No. 5 ;  No.6</w:t>
            </w:r>
          </w:p>
        </w:tc>
        <w:tc>
          <w:tcPr>
            <w:tcW w:w="1437" w:type="dxa"/>
          </w:tcPr>
          <w:p w14:paraId="64668208" w14:textId="77777777" w:rsidR="006C08E5" w:rsidRPr="00E724C4" w:rsidRDefault="006C08E5" w:rsidP="004E0C93">
            <w:pPr>
              <w:jc w:val="center"/>
              <w:rPr>
                <w:rFonts w:cs="Arial"/>
                <w:color w:val="000000" w:themeColor="text1"/>
                <w:lang w:val="en-US"/>
              </w:rPr>
            </w:pPr>
            <w:r w:rsidRPr="00E724C4">
              <w:rPr>
                <w:rFonts w:cs="Arial"/>
                <w:color w:val="000000" w:themeColor="text1"/>
                <w:lang w:val="en-US"/>
              </w:rPr>
              <w:t>10</w:t>
            </w:r>
          </w:p>
        </w:tc>
      </w:tr>
    </w:tbl>
    <w:p w14:paraId="3371E104" w14:textId="77777777" w:rsidR="00872DD5" w:rsidRPr="00026C7F" w:rsidRDefault="00872DD5" w:rsidP="00872DD5">
      <w:pPr>
        <w:jc w:val="both"/>
        <w:rPr>
          <w:rFonts w:cs="Arial"/>
          <w:lang w:val="en-US"/>
        </w:rPr>
      </w:pPr>
    </w:p>
    <w:p w14:paraId="526C5C9A" w14:textId="77777777" w:rsidR="00872DD5" w:rsidRPr="00026C7F" w:rsidRDefault="00872DD5" w:rsidP="00872DD5">
      <w:pPr>
        <w:jc w:val="both"/>
        <w:rPr>
          <w:rFonts w:cs="Arial"/>
          <w:lang w:val="en-US"/>
        </w:rPr>
      </w:pPr>
    </w:p>
    <w:p w14:paraId="3B58F2F6" w14:textId="77777777" w:rsidR="00872DD5" w:rsidRPr="00026C7F" w:rsidRDefault="00872DD5" w:rsidP="00872DD5">
      <w:pPr>
        <w:tabs>
          <w:tab w:val="left" w:pos="7114"/>
        </w:tabs>
        <w:jc w:val="both"/>
        <w:rPr>
          <w:rFonts w:cs="Arial"/>
          <w:lang w:val="en-US"/>
        </w:rPr>
      </w:pPr>
    </w:p>
    <w:p w14:paraId="4D6B4306" w14:textId="163BB66A" w:rsidR="00DC23B3" w:rsidRPr="006C08E5" w:rsidRDefault="00DC23B3">
      <w:pPr>
        <w:rPr>
          <w:rFonts w:cs="Arial"/>
          <w:lang w:val="en-US"/>
        </w:rPr>
      </w:pPr>
      <w:r>
        <w:br w:type="page"/>
      </w:r>
    </w:p>
    <w:p w14:paraId="5AE2C793" w14:textId="77777777" w:rsidR="005657A9" w:rsidRDefault="005657A9" w:rsidP="005657A9">
      <w:pPr>
        <w:pStyle w:val="Heading1"/>
        <w:numPr>
          <w:ilvl w:val="0"/>
          <w:numId w:val="0"/>
        </w:numPr>
        <w:ind w:left="360" w:hanging="360"/>
      </w:pPr>
      <w:bookmarkStart w:id="8" w:name="_Toc152946062"/>
      <w:r>
        <w:lastRenderedPageBreak/>
        <w:t>List of Equations</w:t>
      </w:r>
      <w:bookmarkEnd w:id="8"/>
    </w:p>
    <w:p w14:paraId="0C44BE24" w14:textId="443F2CF1" w:rsidR="005657A9" w:rsidRDefault="005657A9" w:rsidP="005657A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4590"/>
        <w:gridCol w:w="3257"/>
      </w:tblGrid>
      <w:tr w:rsidR="003D42D9" w14:paraId="3EF1F212" w14:textId="77777777" w:rsidTr="00CF2FFB">
        <w:trPr>
          <w:trHeight w:val="801"/>
          <w:jc w:val="center"/>
        </w:trPr>
        <w:tc>
          <w:tcPr>
            <w:tcW w:w="715" w:type="dxa"/>
          </w:tcPr>
          <w:p w14:paraId="0E621E10" w14:textId="48E539FB" w:rsidR="003D42D9" w:rsidRPr="00CF2FFB" w:rsidRDefault="003D42D9" w:rsidP="004E0C93">
            <w:pPr>
              <w:jc w:val="center"/>
              <w:rPr>
                <w:b/>
              </w:rPr>
            </w:pPr>
            <w:proofErr w:type="spellStart"/>
            <w:r w:rsidRPr="00CF2FFB">
              <w:rPr>
                <w:b/>
              </w:rPr>
              <w:t>S.</w:t>
            </w:r>
            <w:r w:rsidR="002B0295" w:rsidRPr="00CF2FFB">
              <w:rPr>
                <w:b/>
              </w:rPr>
              <w:t>N</w:t>
            </w:r>
            <w:r w:rsidRPr="00CF2FFB">
              <w:rPr>
                <w:b/>
              </w:rPr>
              <w:t>o</w:t>
            </w:r>
            <w:proofErr w:type="spellEnd"/>
          </w:p>
        </w:tc>
        <w:tc>
          <w:tcPr>
            <w:tcW w:w="4590" w:type="dxa"/>
          </w:tcPr>
          <w:p w14:paraId="32B3CE1D" w14:textId="1B425C89" w:rsidR="003D42D9" w:rsidRPr="00CF2FFB" w:rsidRDefault="003D42D9" w:rsidP="004E0C93">
            <w:pPr>
              <w:jc w:val="center"/>
              <w:rPr>
                <w:b/>
              </w:rPr>
            </w:pPr>
            <w:r w:rsidRPr="00CF2FFB">
              <w:rPr>
                <w:b/>
              </w:rPr>
              <w:t>Name</w:t>
            </w:r>
          </w:p>
        </w:tc>
        <w:tc>
          <w:tcPr>
            <w:tcW w:w="3257" w:type="dxa"/>
          </w:tcPr>
          <w:p w14:paraId="36F70E72" w14:textId="0B42443E" w:rsidR="003D42D9" w:rsidRPr="00CF2FFB" w:rsidRDefault="003D42D9" w:rsidP="00CF2FFB">
            <w:pPr>
              <w:jc w:val="center"/>
              <w:rPr>
                <w:b/>
              </w:rPr>
            </w:pPr>
            <w:proofErr w:type="spellStart"/>
            <w:r w:rsidRPr="00CF2FFB">
              <w:rPr>
                <w:b/>
              </w:rPr>
              <w:t>Pg.No</w:t>
            </w:r>
            <w:proofErr w:type="spellEnd"/>
          </w:p>
        </w:tc>
      </w:tr>
      <w:tr w:rsidR="003D42D9" w14:paraId="0FC99644" w14:textId="77777777" w:rsidTr="00CF2FFB">
        <w:trPr>
          <w:trHeight w:val="801"/>
          <w:jc w:val="center"/>
        </w:trPr>
        <w:tc>
          <w:tcPr>
            <w:tcW w:w="715" w:type="dxa"/>
          </w:tcPr>
          <w:p w14:paraId="6929AF2F" w14:textId="7A8678C9" w:rsidR="003D42D9" w:rsidRDefault="003D42D9" w:rsidP="004E0C93">
            <w:pPr>
              <w:jc w:val="center"/>
            </w:pPr>
            <w:r>
              <w:t>1.</w:t>
            </w:r>
          </w:p>
        </w:tc>
        <w:tc>
          <w:tcPr>
            <w:tcW w:w="4590" w:type="dxa"/>
          </w:tcPr>
          <w:p w14:paraId="7F328D7D" w14:textId="25B8DBBC" w:rsidR="003D42D9" w:rsidRPr="00CC25FC" w:rsidRDefault="00CC25FC" w:rsidP="004E0C93">
            <w:pPr>
              <w:jc w:val="center"/>
              <w:rPr>
                <w:color w:val="000000" w:themeColor="text1"/>
              </w:rPr>
            </w:pPr>
            <w:r w:rsidRPr="00CC25FC">
              <w:rPr>
                <w:b/>
                <w:bCs/>
                <w:color w:val="000000" w:themeColor="text1"/>
              </w:rPr>
              <w:t>Greys correlation coefficient</w:t>
            </w:r>
            <w:r w:rsidRPr="00CC25FC">
              <w:rPr>
                <w:color w:val="000000" w:themeColor="text1"/>
              </w:rPr>
              <w:t xml:space="preserve"> = </w:t>
            </w:r>
            <w:r w:rsidRPr="00CC25FC">
              <w:rPr>
                <w:rFonts w:eastAsia="Times New Roman" w:cs="Times New Roman"/>
                <w:color w:val="000000" w:themeColor="text1"/>
              </w:rPr>
              <w:t>1 - sum(abs(</w:t>
            </w:r>
            <w:proofErr w:type="spellStart"/>
            <w:r w:rsidRPr="00CC25FC">
              <w:rPr>
                <w:rFonts w:eastAsia="Times New Roman" w:cs="Times New Roman"/>
                <w:color w:val="000000" w:themeColor="text1"/>
              </w:rPr>
              <w:t>normalizedX</w:t>
            </w:r>
            <w:proofErr w:type="spellEnd"/>
            <w:r w:rsidRPr="00CC25FC">
              <w:rPr>
                <w:rFonts w:eastAsia="Times New Roman" w:cs="Times New Roman"/>
                <w:color w:val="000000" w:themeColor="text1"/>
              </w:rPr>
              <w:t xml:space="preserve"> - </w:t>
            </w:r>
            <w:proofErr w:type="spellStart"/>
            <w:r w:rsidRPr="00CC25FC">
              <w:rPr>
                <w:rFonts w:eastAsia="Times New Roman" w:cs="Times New Roman"/>
                <w:color w:val="000000" w:themeColor="text1"/>
              </w:rPr>
              <w:t>normalized_Y</w:t>
            </w:r>
            <w:proofErr w:type="spellEnd"/>
            <w:r w:rsidRPr="00CC25FC">
              <w:rPr>
                <w:rFonts w:eastAsia="Times New Roman" w:cs="Times New Roman"/>
                <w:color w:val="000000" w:themeColor="text1"/>
              </w:rPr>
              <w:t>)) /          sum(abs(</w:t>
            </w:r>
            <w:proofErr w:type="spellStart"/>
            <w:r w:rsidRPr="00CC25FC">
              <w:rPr>
                <w:rFonts w:eastAsia="Times New Roman" w:cs="Times New Roman"/>
                <w:color w:val="000000" w:themeColor="text1"/>
              </w:rPr>
              <w:t>normalized_X</w:t>
            </w:r>
            <w:proofErr w:type="spellEnd"/>
            <w:r w:rsidRPr="00CC25FC">
              <w:rPr>
                <w:rFonts w:eastAsia="Times New Roman" w:cs="Times New Roman"/>
                <w:color w:val="000000" w:themeColor="text1"/>
              </w:rPr>
              <w:t xml:space="preserve"> + </w:t>
            </w:r>
            <w:proofErr w:type="spellStart"/>
            <w:r w:rsidRPr="00CC25FC">
              <w:rPr>
                <w:rFonts w:eastAsia="Times New Roman" w:cs="Times New Roman"/>
                <w:color w:val="000000" w:themeColor="text1"/>
              </w:rPr>
              <w:t>normalized_Y</w:t>
            </w:r>
            <w:proofErr w:type="spellEnd"/>
            <w:r w:rsidRPr="00CC25FC">
              <w:rPr>
                <w:rFonts w:eastAsia="Times New Roman" w:cs="Times New Roman"/>
                <w:color w:val="000000" w:themeColor="text1"/>
              </w:rPr>
              <w:t>))</w:t>
            </w:r>
          </w:p>
        </w:tc>
        <w:tc>
          <w:tcPr>
            <w:tcW w:w="3257" w:type="dxa"/>
          </w:tcPr>
          <w:p w14:paraId="516AF86F" w14:textId="56DCFA7E" w:rsidR="003D42D9" w:rsidRDefault="003D42D9" w:rsidP="00CF2FFB">
            <w:pPr>
              <w:jc w:val="center"/>
            </w:pPr>
            <w:r>
              <w:t>3</w:t>
            </w:r>
          </w:p>
        </w:tc>
      </w:tr>
      <w:tr w:rsidR="001E20EE" w14:paraId="7E44201B" w14:textId="77777777" w:rsidTr="00CF2FFB">
        <w:trPr>
          <w:trHeight w:val="801"/>
          <w:jc w:val="center"/>
        </w:trPr>
        <w:tc>
          <w:tcPr>
            <w:tcW w:w="715" w:type="dxa"/>
          </w:tcPr>
          <w:p w14:paraId="5852A444" w14:textId="7C122234" w:rsidR="001E20EE" w:rsidRDefault="001E20EE" w:rsidP="004E0C93">
            <w:pPr>
              <w:jc w:val="center"/>
            </w:pPr>
            <w:r>
              <w:t>2.</w:t>
            </w:r>
          </w:p>
        </w:tc>
        <w:tc>
          <w:tcPr>
            <w:tcW w:w="4590" w:type="dxa"/>
          </w:tcPr>
          <w:p w14:paraId="7574B3D2" w14:textId="62B37E5B" w:rsidR="001E20EE" w:rsidRPr="00CC25FC" w:rsidRDefault="001E20EE" w:rsidP="004E0C93">
            <w:pPr>
              <w:jc w:val="center"/>
              <w:rPr>
                <w:color w:val="000000" w:themeColor="text1"/>
              </w:rPr>
            </w:pPr>
            <w:r w:rsidRPr="00CC25FC">
              <w:rPr>
                <w:color w:val="000000" w:themeColor="text1"/>
              </w:rPr>
              <w:t>RMSE</w:t>
            </w:r>
          </w:p>
        </w:tc>
        <w:tc>
          <w:tcPr>
            <w:tcW w:w="3257" w:type="dxa"/>
          </w:tcPr>
          <w:p w14:paraId="19236771" w14:textId="73040153" w:rsidR="001E20EE" w:rsidRDefault="001E20EE" w:rsidP="00CF2FFB">
            <w:pPr>
              <w:jc w:val="center"/>
            </w:pPr>
            <w:r>
              <w:t>10</w:t>
            </w:r>
          </w:p>
        </w:tc>
      </w:tr>
      <w:tr w:rsidR="001E20EE" w14:paraId="75B3808F" w14:textId="77777777" w:rsidTr="00CF2FFB">
        <w:trPr>
          <w:trHeight w:val="801"/>
          <w:jc w:val="center"/>
        </w:trPr>
        <w:tc>
          <w:tcPr>
            <w:tcW w:w="715" w:type="dxa"/>
          </w:tcPr>
          <w:p w14:paraId="359D8C68" w14:textId="0094D44C" w:rsidR="001E20EE" w:rsidRDefault="001E20EE" w:rsidP="004E0C93">
            <w:pPr>
              <w:jc w:val="center"/>
            </w:pPr>
            <w:r>
              <w:t>3.</w:t>
            </w:r>
          </w:p>
        </w:tc>
        <w:tc>
          <w:tcPr>
            <w:tcW w:w="4590" w:type="dxa"/>
          </w:tcPr>
          <w:p w14:paraId="78205343" w14:textId="1B03460C" w:rsidR="001E20EE" w:rsidRPr="00CC25FC" w:rsidRDefault="001E20EE" w:rsidP="004E0C93">
            <w:pPr>
              <w:jc w:val="center"/>
            </w:pPr>
            <w:r w:rsidRPr="00CC25FC">
              <w:rPr>
                <w:color w:val="000000" w:themeColor="text1"/>
              </w:rPr>
              <w:t>MAPE</w:t>
            </w:r>
          </w:p>
        </w:tc>
        <w:tc>
          <w:tcPr>
            <w:tcW w:w="3257" w:type="dxa"/>
          </w:tcPr>
          <w:p w14:paraId="0B27173F" w14:textId="7EEF2DBE" w:rsidR="001E20EE" w:rsidRDefault="001E20EE" w:rsidP="00CF2FFB">
            <w:pPr>
              <w:jc w:val="center"/>
            </w:pPr>
            <w:r>
              <w:t>10</w:t>
            </w:r>
          </w:p>
        </w:tc>
      </w:tr>
    </w:tbl>
    <w:p w14:paraId="62B6928A" w14:textId="77777777" w:rsidR="003019E2" w:rsidRPr="005657A9" w:rsidRDefault="003019E2" w:rsidP="005657A9"/>
    <w:p w14:paraId="11514FA8" w14:textId="713DC015" w:rsidR="002039A4" w:rsidRDefault="005657A9">
      <w:pPr>
        <w:sectPr w:rsidR="002039A4" w:rsidSect="002039A4">
          <w:footerReference w:type="default" r:id="rId12"/>
          <w:pgSz w:w="11906" w:h="16838"/>
          <w:pgMar w:top="1440" w:right="1440" w:bottom="1440" w:left="1440" w:header="708" w:footer="708" w:gutter="0"/>
          <w:pgNumType w:fmt="lowerRoman" w:start="1"/>
          <w:cols w:space="708"/>
          <w:docGrid w:linePitch="360"/>
        </w:sectPr>
      </w:pPr>
      <w:r>
        <w:br w:type="page"/>
      </w:r>
    </w:p>
    <w:p w14:paraId="41948EF0" w14:textId="4899AC4D" w:rsidR="000A1944" w:rsidRPr="00026C7F" w:rsidRDefault="00530CCA" w:rsidP="00530CCA">
      <w:pPr>
        <w:pStyle w:val="Heading1"/>
      </w:pPr>
      <w:bookmarkStart w:id="9" w:name="_Toc152946063"/>
      <w:r w:rsidRPr="00594119">
        <w:rPr>
          <w:szCs w:val="36"/>
        </w:rPr>
        <w:lastRenderedPageBreak/>
        <w:t>Introduction</w:t>
      </w:r>
      <w:bookmarkEnd w:id="9"/>
    </w:p>
    <w:p w14:paraId="63226D39" w14:textId="2DA0D0E8" w:rsidR="00530CCA" w:rsidRDefault="00530CCA" w:rsidP="00530CCA">
      <w:pPr>
        <w:rPr>
          <w:lang w:val="en-US"/>
        </w:rPr>
      </w:pPr>
    </w:p>
    <w:p w14:paraId="5786530D" w14:textId="139DA839" w:rsidR="00FE20BD" w:rsidRPr="00FE20BD" w:rsidRDefault="00FE20BD" w:rsidP="00FE20BD">
      <w:pPr>
        <w:jc w:val="both"/>
        <w:rPr>
          <w:rStyle w:val="IntenseEmphasis"/>
          <w:i w:val="0"/>
          <w:iCs w:val="0"/>
          <w:color w:val="auto"/>
        </w:rPr>
      </w:pPr>
      <w:r>
        <w:rPr>
          <w:rFonts w:ascii="Segoe UI" w:hAnsi="Segoe UI" w:cs="Segoe UI"/>
          <w:color w:val="374151"/>
        </w:rPr>
        <w:br/>
      </w:r>
      <w:r w:rsidRPr="00FE20BD">
        <w:rPr>
          <w:rStyle w:val="IntenseEmphasis"/>
          <w:i w:val="0"/>
          <w:iCs w:val="0"/>
          <w:color w:val="auto"/>
        </w:rPr>
        <w:t xml:space="preserve">Lithium-ion batteries serve as the primary power source for electric vehicles (EVs), consumer electronics, and even spacecraft </w:t>
      </w:r>
      <w:r w:rsidRPr="00290903">
        <w:t>[</w:t>
      </w:r>
      <w:r w:rsidRPr="00290903">
        <w:rPr>
          <w:color w:val="0070C0"/>
        </w:rPr>
        <w:t>1–3</w:t>
      </w:r>
      <w:r w:rsidRPr="00290903">
        <w:t>]</w:t>
      </w:r>
      <w:r w:rsidRPr="00FE20BD">
        <w:rPr>
          <w:rStyle w:val="IntenseEmphasis"/>
          <w:i w:val="0"/>
          <w:iCs w:val="0"/>
          <w:color w:val="auto"/>
        </w:rPr>
        <w:t xml:space="preserve">. As a result, ensuring the reliability and safety of these batteries is a critical concern in practical applications. Over time, the performance of lithium-ion batteries gradually degrades, potentially impacting the normal operation of electrical equipment and leading to severe consequences </w:t>
      </w:r>
      <w:r w:rsidRPr="00290903">
        <w:t>[</w:t>
      </w:r>
      <w:r w:rsidRPr="00290903">
        <w:rPr>
          <w:color w:val="0070C0"/>
        </w:rPr>
        <w:t>4</w:t>
      </w:r>
      <w:r w:rsidRPr="00290903">
        <w:t>].</w:t>
      </w:r>
      <w:r w:rsidRPr="00FE20BD">
        <w:rPr>
          <w:rStyle w:val="IntenseEmphasis"/>
          <w:i w:val="0"/>
          <w:iCs w:val="0"/>
          <w:color w:val="auto"/>
        </w:rPr>
        <w:t xml:space="preserve"> Notable incidents, such as the Samsung NOTE7 cell explosion, electric vehicle fires, and battery energy storage box explosions in power plants in recent years, underscore the importance of addressing these safety challenges </w:t>
      </w:r>
      <w:r w:rsidRPr="00290903">
        <w:t>[</w:t>
      </w:r>
      <w:r w:rsidRPr="00290903">
        <w:rPr>
          <w:color w:val="0070C0"/>
        </w:rPr>
        <w:t>5</w:t>
      </w:r>
      <w:r w:rsidRPr="00290903">
        <w:t>].</w:t>
      </w:r>
    </w:p>
    <w:p w14:paraId="572CFFC6" w14:textId="77777777" w:rsidR="00FE20BD" w:rsidRPr="00FE20BD" w:rsidRDefault="00FE20BD" w:rsidP="00FE20BD">
      <w:pPr>
        <w:jc w:val="both"/>
        <w:rPr>
          <w:rStyle w:val="IntenseEmphasis"/>
          <w:i w:val="0"/>
          <w:iCs w:val="0"/>
          <w:color w:val="auto"/>
        </w:rPr>
      </w:pPr>
      <w:r w:rsidRPr="00FE20BD">
        <w:rPr>
          <w:rStyle w:val="IntenseEmphasis"/>
          <w:i w:val="0"/>
          <w:iCs w:val="0"/>
          <w:color w:val="auto"/>
        </w:rPr>
        <w:t>To mitigate the risk of such accidents, the prediction of State of Health (SOH) for lithium-ion batteries has become a prominent and challenging focus within the field of prognostics and health management (PHM) for electronics. The battery management system (BMS) is specifically designed for various instruments to ensure safe operating conditions. SOH determination is a key function of BMS in current practice and requires estimation based on online measurement data, including current, voltage, temperature, etc.</w:t>
      </w:r>
    </w:p>
    <w:p w14:paraId="7B7E69DF" w14:textId="4062FAC3" w:rsidR="00FE20BD" w:rsidRPr="00FE20BD" w:rsidRDefault="00FE20BD" w:rsidP="00FE20BD">
      <w:pPr>
        <w:jc w:val="both"/>
        <w:rPr>
          <w:rStyle w:val="IntenseEmphasis"/>
          <w:i w:val="0"/>
          <w:iCs w:val="0"/>
          <w:color w:val="auto"/>
        </w:rPr>
      </w:pPr>
      <w:r w:rsidRPr="00FE20BD">
        <w:rPr>
          <w:rStyle w:val="IntenseEmphasis"/>
          <w:i w:val="0"/>
          <w:iCs w:val="0"/>
          <w:color w:val="auto"/>
        </w:rPr>
        <w:t xml:space="preserve">Existing methods for SOH prediction of lithium-ion batteries can be broadly categorized into two main types: model-based approaches and data-driven approaches </w:t>
      </w:r>
      <w:r w:rsidRPr="00290903">
        <w:t>[</w:t>
      </w:r>
      <w:r w:rsidRPr="00290903">
        <w:rPr>
          <w:color w:val="0070C0"/>
        </w:rPr>
        <w:t>6</w:t>
      </w:r>
      <w:r w:rsidRPr="00290903">
        <w:t>]</w:t>
      </w:r>
      <w:r w:rsidRPr="00FE20BD">
        <w:rPr>
          <w:rStyle w:val="IntenseEmphasis"/>
          <w:i w:val="0"/>
          <w:iCs w:val="0"/>
          <w:color w:val="auto"/>
        </w:rPr>
        <w:t>. The electrochemical model (</w:t>
      </w:r>
      <w:proofErr w:type="spellStart"/>
      <w:r w:rsidRPr="00FE20BD">
        <w:rPr>
          <w:rStyle w:val="IntenseEmphasis"/>
          <w:i w:val="0"/>
          <w:iCs w:val="0"/>
          <w:color w:val="auto"/>
        </w:rPr>
        <w:t>EChM</w:t>
      </w:r>
      <w:proofErr w:type="spellEnd"/>
      <w:r w:rsidRPr="00FE20BD">
        <w:rPr>
          <w:rStyle w:val="IntenseEmphasis"/>
          <w:i w:val="0"/>
          <w:iCs w:val="0"/>
          <w:color w:val="auto"/>
        </w:rPr>
        <w:t xml:space="preserve">) and the equivalent circuit model stand out as two commonly employed models for understanding lithium-ion batteries. Among </w:t>
      </w:r>
      <w:proofErr w:type="spellStart"/>
      <w:r w:rsidRPr="00FE20BD">
        <w:rPr>
          <w:rStyle w:val="IntenseEmphasis"/>
          <w:i w:val="0"/>
          <w:iCs w:val="0"/>
          <w:color w:val="auto"/>
        </w:rPr>
        <w:t>EChMs</w:t>
      </w:r>
      <w:proofErr w:type="spellEnd"/>
      <w:r w:rsidRPr="00FE20BD">
        <w:rPr>
          <w:rStyle w:val="IntenseEmphasis"/>
          <w:i w:val="0"/>
          <w:iCs w:val="0"/>
          <w:color w:val="auto"/>
        </w:rPr>
        <w:t xml:space="preserve">, the Doyle–Fuller–Newman (DFN) model is widely recognized </w:t>
      </w:r>
      <w:r w:rsidRPr="00586945">
        <w:t>[</w:t>
      </w:r>
      <w:r w:rsidRPr="00586945">
        <w:rPr>
          <w:color w:val="0070C0"/>
        </w:rPr>
        <w:t>7–9</w:t>
      </w:r>
      <w:r w:rsidRPr="00586945">
        <w:t>].</w:t>
      </w:r>
      <w:r w:rsidRPr="00FE20BD">
        <w:rPr>
          <w:rStyle w:val="IntenseEmphasis"/>
          <w:i w:val="0"/>
          <w:iCs w:val="0"/>
          <w:color w:val="auto"/>
        </w:rPr>
        <w:t xml:space="preserve"> Safari et al. </w:t>
      </w:r>
      <w:r w:rsidR="00586945">
        <w:t>[</w:t>
      </w:r>
      <w:r w:rsidRPr="00586945">
        <w:rPr>
          <w:color w:val="0070C0"/>
        </w:rPr>
        <w:t>10</w:t>
      </w:r>
      <w:r w:rsidRPr="00586945">
        <w:t>]</w:t>
      </w:r>
      <w:r w:rsidRPr="00FE20BD">
        <w:rPr>
          <w:rStyle w:val="IntenseEmphasis"/>
          <w:i w:val="0"/>
          <w:iCs w:val="0"/>
          <w:color w:val="auto"/>
        </w:rPr>
        <w:t xml:space="preserve"> introduced a multimodal physics-based aging model focusing on lithium-ion battery capacity fade. This model incorporated solvent decomposition kinetics and solvent diffusion through the solid electrolyte interphase (SEI) layer. Considering </w:t>
      </w:r>
      <w:proofErr w:type="spellStart"/>
      <w:r w:rsidRPr="00FE20BD">
        <w:rPr>
          <w:rStyle w:val="IntenseEmphasis"/>
          <w:i w:val="0"/>
          <w:iCs w:val="0"/>
          <w:color w:val="auto"/>
        </w:rPr>
        <w:t>desolvation</w:t>
      </w:r>
      <w:proofErr w:type="spellEnd"/>
      <w:r w:rsidRPr="00FE20BD">
        <w:rPr>
          <w:rStyle w:val="IntenseEmphasis"/>
          <w:i w:val="0"/>
          <w:iCs w:val="0"/>
          <w:color w:val="auto"/>
        </w:rPr>
        <w:t xml:space="preserve"> as a rate-limiting step, another study </w:t>
      </w:r>
      <w:r w:rsidRPr="00586945">
        <w:t>[</w:t>
      </w:r>
      <w:r w:rsidRPr="00586945">
        <w:rPr>
          <w:color w:val="0070C0"/>
        </w:rPr>
        <w:t>11,12</w:t>
      </w:r>
      <w:r w:rsidRPr="00586945">
        <w:t>]</w:t>
      </w:r>
      <w:r w:rsidRPr="00FE20BD">
        <w:rPr>
          <w:rStyle w:val="IntenseEmphasis"/>
          <w:i w:val="0"/>
          <w:iCs w:val="0"/>
          <w:color w:val="auto"/>
        </w:rPr>
        <w:t xml:space="preserve"> utilized a one-dimensional model to estimate battery aging by encompassing both calendar and cycle phenomena </w:t>
      </w:r>
      <w:r w:rsidRPr="00586945">
        <w:t>[</w:t>
      </w:r>
      <w:r w:rsidRPr="00586945">
        <w:rPr>
          <w:color w:val="0070C0"/>
        </w:rPr>
        <w:t>13</w:t>
      </w:r>
      <w:r w:rsidRPr="00586945">
        <w:t>]</w:t>
      </w:r>
      <w:r w:rsidRPr="00FE20BD">
        <w:rPr>
          <w:rStyle w:val="IntenseEmphasis"/>
          <w:i w:val="0"/>
          <w:iCs w:val="0"/>
          <w:color w:val="auto"/>
        </w:rPr>
        <w:t>. Despite its high simulation accuracy, the model's complexity makes it challenging for online applications. Therefore, model reduction methods are implemented to streamline these models.</w:t>
      </w:r>
    </w:p>
    <w:p w14:paraId="3BB0899F" w14:textId="03687805" w:rsidR="00FE20BD" w:rsidRDefault="00FE20BD" w:rsidP="00FE20BD">
      <w:pPr>
        <w:jc w:val="both"/>
        <w:rPr>
          <w:rStyle w:val="IntenseEmphasis"/>
          <w:i w:val="0"/>
          <w:iCs w:val="0"/>
          <w:color w:val="auto"/>
        </w:rPr>
      </w:pPr>
      <w:proofErr w:type="spellStart"/>
      <w:r w:rsidRPr="00FE20BD">
        <w:rPr>
          <w:rStyle w:val="IntenseEmphasis"/>
          <w:i w:val="0"/>
          <w:iCs w:val="0"/>
          <w:color w:val="auto"/>
        </w:rPr>
        <w:t>Ramadesigan</w:t>
      </w:r>
      <w:proofErr w:type="spellEnd"/>
      <w:r w:rsidRPr="00FE20BD">
        <w:rPr>
          <w:rStyle w:val="IntenseEmphasis"/>
          <w:i w:val="0"/>
          <w:iCs w:val="0"/>
          <w:color w:val="auto"/>
        </w:rPr>
        <w:t xml:space="preserve"> et al. </w:t>
      </w:r>
      <w:r w:rsidRPr="00586945">
        <w:t>[</w:t>
      </w:r>
      <w:r w:rsidRPr="00586945">
        <w:rPr>
          <w:color w:val="4472C4" w:themeColor="accent1"/>
        </w:rPr>
        <w:t>14</w:t>
      </w:r>
      <w:r w:rsidRPr="00586945">
        <w:t>]</w:t>
      </w:r>
      <w:r w:rsidRPr="00FE20BD">
        <w:rPr>
          <w:rStyle w:val="IntenseEmphasis"/>
          <w:i w:val="0"/>
          <w:iCs w:val="0"/>
          <w:color w:val="auto"/>
        </w:rPr>
        <w:t xml:space="preserve"> employed reformulated models to efficiently extract effective kinetic and transport parameters from experimental data. Another approach involves </w:t>
      </w:r>
      <w:proofErr w:type="spellStart"/>
      <w:r w:rsidRPr="00FE20BD">
        <w:rPr>
          <w:rStyle w:val="IntenseEmphasis"/>
          <w:i w:val="0"/>
          <w:iCs w:val="0"/>
          <w:color w:val="auto"/>
        </w:rPr>
        <w:t>analyzing</w:t>
      </w:r>
      <w:proofErr w:type="spellEnd"/>
      <w:r w:rsidRPr="00FE20BD">
        <w:rPr>
          <w:rStyle w:val="IntenseEmphasis"/>
          <w:i w:val="0"/>
          <w:iCs w:val="0"/>
          <w:color w:val="auto"/>
        </w:rPr>
        <w:t xml:space="preserve"> voltage-discharge curves measured during initial cycles to predict curves in subsequent cycles. Ashwin et al. </w:t>
      </w:r>
      <w:r w:rsidRPr="00586945">
        <w:t>[</w:t>
      </w:r>
      <w:r w:rsidRPr="00586945">
        <w:rPr>
          <w:color w:val="4472C4" w:themeColor="accent1"/>
        </w:rPr>
        <w:t>15</w:t>
      </w:r>
      <w:r w:rsidRPr="00586945">
        <w:t>]</w:t>
      </w:r>
      <w:r w:rsidRPr="00FE20BD">
        <w:rPr>
          <w:rStyle w:val="IntenseEmphasis"/>
          <w:i w:val="0"/>
          <w:iCs w:val="0"/>
          <w:color w:val="auto"/>
        </w:rPr>
        <w:t xml:space="preserve"> proposed a pseudo-two-dimensional electrochemical lithium-ion battery model to investigate capacity degradation under cyclic charging and discharging conditions. However, this model struggled with dynamic tracking, affecting its accuracy. A significant limitation of reduction models is that they are obtained under specific conditions, potentially restricting accuracy and introducing </w:t>
      </w:r>
      <w:proofErr w:type="spellStart"/>
      <w:r w:rsidRPr="00FE20BD">
        <w:rPr>
          <w:rStyle w:val="IntenseEmphasis"/>
          <w:i w:val="0"/>
          <w:iCs w:val="0"/>
          <w:color w:val="auto"/>
        </w:rPr>
        <w:t>modeling</w:t>
      </w:r>
      <w:proofErr w:type="spellEnd"/>
      <w:r w:rsidRPr="00FE20BD">
        <w:rPr>
          <w:rStyle w:val="IntenseEmphasis"/>
          <w:i w:val="0"/>
          <w:iCs w:val="0"/>
          <w:color w:val="auto"/>
        </w:rPr>
        <w:t xml:space="preserve"> errors.</w:t>
      </w:r>
    </w:p>
    <w:p w14:paraId="3A0BA689" w14:textId="731CB001" w:rsidR="00FE20BD" w:rsidRPr="00FE20BD" w:rsidRDefault="00FE20BD" w:rsidP="00D165BE">
      <w:pPr>
        <w:jc w:val="both"/>
        <w:rPr>
          <w:rStyle w:val="IntenseEmphasis"/>
          <w:i w:val="0"/>
          <w:iCs w:val="0"/>
          <w:color w:val="auto"/>
        </w:rPr>
      </w:pPr>
      <w:r w:rsidRPr="00FE20BD">
        <w:rPr>
          <w:rStyle w:val="IntenseEmphasis"/>
          <w:i w:val="0"/>
          <w:iCs w:val="0"/>
          <w:color w:val="auto"/>
        </w:rPr>
        <w:lastRenderedPageBreak/>
        <w:t>Equivalent circuit models, such as the battery internal resistance equivalent (</w:t>
      </w:r>
      <w:proofErr w:type="spellStart"/>
      <w:r w:rsidRPr="00FE20BD">
        <w:rPr>
          <w:rStyle w:val="IntenseEmphasis"/>
          <w:i w:val="0"/>
          <w:iCs w:val="0"/>
          <w:color w:val="auto"/>
        </w:rPr>
        <w:t>Rint</w:t>
      </w:r>
      <w:proofErr w:type="spellEnd"/>
      <w:r w:rsidRPr="00FE20BD">
        <w:rPr>
          <w:rStyle w:val="IntenseEmphasis"/>
          <w:i w:val="0"/>
          <w:iCs w:val="0"/>
          <w:color w:val="auto"/>
        </w:rPr>
        <w:t>) model and the impedance resistance–capacitance (RC) model, offer a less complex alternative to electrochemical models (</w:t>
      </w:r>
      <w:proofErr w:type="spellStart"/>
      <w:r w:rsidRPr="00FE20BD">
        <w:rPr>
          <w:rStyle w:val="IntenseEmphasis"/>
          <w:i w:val="0"/>
          <w:iCs w:val="0"/>
          <w:color w:val="auto"/>
        </w:rPr>
        <w:t>EChM</w:t>
      </w:r>
      <w:proofErr w:type="spellEnd"/>
      <w:r w:rsidRPr="00FE20BD">
        <w:rPr>
          <w:rStyle w:val="IntenseEmphasis"/>
          <w:i w:val="0"/>
          <w:iCs w:val="0"/>
          <w:color w:val="auto"/>
        </w:rPr>
        <w:t>), presenting ease of implementation for real-time applications with moderate accuracy [</w:t>
      </w:r>
      <w:r w:rsidRPr="006427F0">
        <w:rPr>
          <w:color w:val="4472C4" w:themeColor="accent1"/>
        </w:rPr>
        <w:t>16</w:t>
      </w:r>
      <w:r w:rsidRPr="00FE20BD">
        <w:rPr>
          <w:rStyle w:val="IntenseEmphasis"/>
          <w:i w:val="0"/>
          <w:iCs w:val="0"/>
          <w:color w:val="auto"/>
        </w:rPr>
        <w:t xml:space="preserve">]. Johnson et al. </w:t>
      </w:r>
      <w:r w:rsidR="00586945" w:rsidRPr="00586945">
        <w:t>[</w:t>
      </w:r>
      <w:r w:rsidR="00586945" w:rsidRPr="00586945">
        <w:rPr>
          <w:color w:val="4472C4" w:themeColor="accent1"/>
        </w:rPr>
        <w:t>17</w:t>
      </w:r>
      <w:r w:rsidRPr="00586945">
        <w:t>]</w:t>
      </w:r>
      <w:r w:rsidRPr="00FE20BD">
        <w:rPr>
          <w:rStyle w:val="IntenseEmphasis"/>
          <w:i w:val="0"/>
          <w:iCs w:val="0"/>
          <w:color w:val="auto"/>
        </w:rPr>
        <w:t xml:space="preserve"> introduced classical equivalent circuit models with a focus on battery internal resistance and impedance resistance–capacitance. However, these models often overlook the implicit relationships between internal state variables of the battery.</w:t>
      </w:r>
    </w:p>
    <w:p w14:paraId="6C009E13" w14:textId="77777777" w:rsidR="00FE20BD" w:rsidRPr="00FE20BD" w:rsidRDefault="00FE20BD" w:rsidP="00D165BE">
      <w:pPr>
        <w:jc w:val="both"/>
        <w:rPr>
          <w:rStyle w:val="IntenseEmphasis"/>
          <w:i w:val="0"/>
          <w:iCs w:val="0"/>
          <w:color w:val="auto"/>
        </w:rPr>
      </w:pPr>
      <w:r w:rsidRPr="00FE20BD">
        <w:rPr>
          <w:rStyle w:val="IntenseEmphasis"/>
          <w:i w:val="0"/>
          <w:iCs w:val="0"/>
          <w:color w:val="auto"/>
        </w:rPr>
        <w:t xml:space="preserve">In contrast to </w:t>
      </w:r>
      <w:proofErr w:type="spellStart"/>
      <w:r w:rsidRPr="00FE20BD">
        <w:rPr>
          <w:rStyle w:val="IntenseEmphasis"/>
          <w:i w:val="0"/>
          <w:iCs w:val="0"/>
          <w:color w:val="auto"/>
        </w:rPr>
        <w:t>EChM</w:t>
      </w:r>
      <w:proofErr w:type="spellEnd"/>
      <w:r w:rsidRPr="00FE20BD">
        <w:rPr>
          <w:rStyle w:val="IntenseEmphasis"/>
          <w:i w:val="0"/>
          <w:iCs w:val="0"/>
          <w:color w:val="auto"/>
        </w:rPr>
        <w:t>, equivalent circuit models involve fewer internal parameters, simplifying their implementation. Still, their accuracy is contingent upon proper identification of model parameters, which necessitates a large and diverse dataset obtained through time-consuming tests. The challenge lies in the incomplete understanding of the capacity degradation mechanism of lithium-ion batteries, making it difficult to determine the main parameters involved in the model-based method.</w:t>
      </w:r>
    </w:p>
    <w:p w14:paraId="6EBD239A" w14:textId="0DA7EAD0" w:rsidR="00FE20BD" w:rsidRPr="00FE20BD" w:rsidRDefault="00FE20BD" w:rsidP="00D165BE">
      <w:pPr>
        <w:jc w:val="both"/>
        <w:rPr>
          <w:rStyle w:val="IntenseEmphasis"/>
          <w:i w:val="0"/>
          <w:iCs w:val="0"/>
          <w:color w:val="auto"/>
        </w:rPr>
      </w:pPr>
      <w:r w:rsidRPr="00FE20BD">
        <w:rPr>
          <w:rStyle w:val="IntenseEmphasis"/>
          <w:i w:val="0"/>
          <w:iCs w:val="0"/>
          <w:color w:val="auto"/>
        </w:rPr>
        <w:t xml:space="preserve">With the rise of machine learning and artificial intelligence, data-driven methods have gained attention due to their nonparametric nature and independence from electrochemical principles </w:t>
      </w:r>
      <w:r w:rsidR="00586945">
        <w:rPr>
          <w:rStyle w:val="IntenseEmphasis"/>
          <w:i w:val="0"/>
          <w:iCs w:val="0"/>
          <w:color w:val="auto"/>
        </w:rPr>
        <w:t>[</w:t>
      </w:r>
      <w:r w:rsidRPr="00586945">
        <w:rPr>
          <w:color w:val="4472C4" w:themeColor="accent1"/>
        </w:rPr>
        <w:t>18–20</w:t>
      </w:r>
      <w:r w:rsidRPr="00FE20BD">
        <w:rPr>
          <w:rStyle w:val="IntenseEmphasis"/>
          <w:i w:val="0"/>
          <w:iCs w:val="0"/>
          <w:color w:val="auto"/>
        </w:rPr>
        <w:t xml:space="preserve">]. Various data-driven approaches, including time series analysis, artificial neural networks (ANN), support vector machines (SVM), relevance vector machines (RVM), and Gaussian process regression (GPR), have been explored </w:t>
      </w:r>
      <w:r w:rsidRPr="00586945">
        <w:t>[</w:t>
      </w:r>
      <w:r w:rsidRPr="00586945">
        <w:rPr>
          <w:color w:val="4472C4" w:themeColor="accent1"/>
        </w:rPr>
        <w:t>21–23</w:t>
      </w:r>
      <w:r w:rsidRPr="00FE20BD">
        <w:rPr>
          <w:rStyle w:val="IntenseEmphasis"/>
          <w:i w:val="0"/>
          <w:iCs w:val="0"/>
          <w:color w:val="auto"/>
        </w:rPr>
        <w:t xml:space="preserve">]. GPR, in particular, has gained </w:t>
      </w:r>
      <w:proofErr w:type="spellStart"/>
      <w:r w:rsidRPr="00FE20BD">
        <w:rPr>
          <w:rStyle w:val="IntenseEmphasis"/>
          <w:i w:val="0"/>
          <w:iCs w:val="0"/>
          <w:color w:val="auto"/>
        </w:rPr>
        <w:t>favor</w:t>
      </w:r>
      <w:proofErr w:type="spellEnd"/>
      <w:r w:rsidRPr="00FE20BD">
        <w:rPr>
          <w:rStyle w:val="IntenseEmphasis"/>
          <w:i w:val="0"/>
          <w:iCs w:val="0"/>
          <w:color w:val="auto"/>
        </w:rPr>
        <w:t xml:space="preserve"> for its probabilistic prediction capabilities under the Bayesian framework </w:t>
      </w:r>
      <w:r w:rsidRPr="00586945">
        <w:t>[</w:t>
      </w:r>
      <w:r w:rsidRPr="00586945">
        <w:rPr>
          <w:color w:val="4472C4" w:themeColor="accent1"/>
        </w:rPr>
        <w:t>24,</w:t>
      </w:r>
      <w:r w:rsidR="00D165BE" w:rsidRPr="00586945">
        <w:rPr>
          <w:color w:val="4472C4" w:themeColor="accent1"/>
        </w:rPr>
        <w:t xml:space="preserve"> </w:t>
      </w:r>
      <w:r w:rsidRPr="00586945">
        <w:rPr>
          <w:color w:val="4472C4" w:themeColor="accent1"/>
        </w:rPr>
        <w:t>25</w:t>
      </w:r>
      <w:r w:rsidRPr="00586945">
        <w:t>].</w:t>
      </w:r>
    </w:p>
    <w:p w14:paraId="690BCFF1" w14:textId="0CF58037" w:rsidR="00FE20BD" w:rsidRPr="00586945" w:rsidRDefault="00FE20BD" w:rsidP="00D165BE">
      <w:pPr>
        <w:jc w:val="both"/>
        <w:rPr>
          <w:rStyle w:val="IntenseEmphasis"/>
          <w:i w:val="0"/>
          <w:iCs w:val="0"/>
          <w:color w:val="auto"/>
        </w:rPr>
      </w:pPr>
      <w:r w:rsidRPr="00FE20BD">
        <w:rPr>
          <w:rStyle w:val="IntenseEmphasis"/>
          <w:i w:val="0"/>
          <w:iCs w:val="0"/>
          <w:color w:val="auto"/>
        </w:rPr>
        <w:t xml:space="preserve">To leverage the benefits of data-driven methods, researchers have applied them to predict the aging life of lithium-ion batteries. Compared to model-based methods, data-driven approaches are nonparametric and do not rely on electrochemical principles. Various mapping and regression tools are used to develop degradation models, such as time series analysis, ANN, SVM, RVM, and GPR </w:t>
      </w:r>
      <w:r w:rsidRPr="006427F0">
        <w:t>[18–20].</w:t>
      </w:r>
    </w:p>
    <w:p w14:paraId="05353A47" w14:textId="4F3C1FB6" w:rsidR="00FE20BD" w:rsidRPr="00FE20BD" w:rsidRDefault="00FE20BD" w:rsidP="00D165BE">
      <w:pPr>
        <w:jc w:val="both"/>
        <w:rPr>
          <w:rStyle w:val="IntenseEmphasis"/>
          <w:i w:val="0"/>
          <w:iCs w:val="0"/>
          <w:color w:val="auto"/>
        </w:rPr>
      </w:pPr>
      <w:r w:rsidRPr="00FE20BD">
        <w:rPr>
          <w:rStyle w:val="IntenseEmphasis"/>
          <w:i w:val="0"/>
          <w:iCs w:val="0"/>
          <w:color w:val="auto"/>
        </w:rPr>
        <w:t xml:space="preserve">In recent years, GPR has gained popularity due to its probabilistic prediction capabilities under the Bayesian framework </w:t>
      </w:r>
      <w:r w:rsidRPr="00BE1BF8">
        <w:t>[</w:t>
      </w:r>
      <w:r w:rsidRPr="00BE1BF8">
        <w:rPr>
          <w:color w:val="4472C4" w:themeColor="accent1"/>
        </w:rPr>
        <w:t>24,</w:t>
      </w:r>
      <w:r w:rsidRPr="00BE1BF8">
        <w:rPr>
          <w:color w:val="4472C4" w:themeColor="accent1"/>
          <w:u w:val="single"/>
        </w:rPr>
        <w:t>25</w:t>
      </w:r>
      <w:r w:rsidRPr="00BE1BF8">
        <w:rPr>
          <w:rStyle w:val="IntenseEmphasis"/>
          <w:i w:val="0"/>
          <w:iCs w:val="0"/>
          <w:color w:val="000000" w:themeColor="text1"/>
        </w:rPr>
        <w:t>].</w:t>
      </w:r>
      <w:r w:rsidRPr="00586945">
        <w:rPr>
          <w:rStyle w:val="IntenseEmphasis"/>
          <w:i w:val="0"/>
          <w:iCs w:val="0"/>
          <w:color w:val="000000" w:themeColor="text1"/>
        </w:rPr>
        <w:t xml:space="preserve"> </w:t>
      </w:r>
      <w:r w:rsidRPr="00FE20BD">
        <w:rPr>
          <w:rStyle w:val="IntenseEmphasis"/>
          <w:i w:val="0"/>
          <w:iCs w:val="0"/>
          <w:color w:val="auto"/>
        </w:rPr>
        <w:t>Researchers have applied GPR to multiple-step-ahead prognostics [</w:t>
      </w:r>
      <w:r w:rsidRPr="00BE1BF8">
        <w:rPr>
          <w:color w:val="4472C4" w:themeColor="accent1"/>
        </w:rPr>
        <w:t>26</w:t>
      </w:r>
      <w:r w:rsidRPr="00FE20BD">
        <w:rPr>
          <w:rStyle w:val="IntenseEmphasis"/>
          <w:i w:val="0"/>
          <w:iCs w:val="0"/>
          <w:color w:val="auto"/>
        </w:rPr>
        <w:t>]. Liu et al. [</w:t>
      </w:r>
      <w:r w:rsidRPr="00586945">
        <w:rPr>
          <w:rStyle w:val="IntenseEmphasis"/>
          <w:i w:val="0"/>
          <w:iCs w:val="0"/>
        </w:rPr>
        <w:t>26</w:t>
      </w:r>
      <w:r w:rsidRPr="00FE20BD">
        <w:rPr>
          <w:rStyle w:val="IntenseEmphasis"/>
          <w:i w:val="0"/>
          <w:iCs w:val="0"/>
          <w:color w:val="auto"/>
        </w:rPr>
        <w:t xml:space="preserve">] utilized an improved GPR model, combining Gaussian Process Functional Regression (GPFR), to capture the actual trend of State of Health (SOH), including global capacity degradation and local regeneration. While GPR has advantages in long-term predictions, it may have limitations in practical applications, as it relies on capacity data </w:t>
      </w:r>
      <w:r w:rsidRPr="006427F0">
        <w:t>[</w:t>
      </w:r>
      <w:r w:rsidRPr="006427F0">
        <w:rPr>
          <w:color w:val="4472C4" w:themeColor="accent1"/>
        </w:rPr>
        <w:t>26</w:t>
      </w:r>
      <w:r w:rsidRPr="00FE20BD">
        <w:rPr>
          <w:rStyle w:val="IntenseEmphasis"/>
          <w:i w:val="0"/>
          <w:iCs w:val="0"/>
          <w:color w:val="auto"/>
        </w:rPr>
        <w:t>].</w:t>
      </w:r>
    </w:p>
    <w:p w14:paraId="66097495" w14:textId="1554287A" w:rsidR="00FE20BD" w:rsidRPr="00FE20BD" w:rsidRDefault="00FE20BD" w:rsidP="00D165BE">
      <w:pPr>
        <w:jc w:val="both"/>
        <w:rPr>
          <w:rStyle w:val="IntenseEmphasis"/>
          <w:i w:val="0"/>
          <w:iCs w:val="0"/>
          <w:color w:val="auto"/>
        </w:rPr>
      </w:pPr>
      <w:r w:rsidRPr="00FE20BD">
        <w:rPr>
          <w:rStyle w:val="IntenseEmphasis"/>
          <w:i w:val="0"/>
          <w:iCs w:val="0"/>
          <w:color w:val="auto"/>
        </w:rPr>
        <w:t xml:space="preserve">To address these limitations, Peng et al. </w:t>
      </w:r>
      <w:r w:rsidRPr="00BE1BF8">
        <w:t>[</w:t>
      </w:r>
      <w:r w:rsidRPr="00BE1BF8">
        <w:rPr>
          <w:color w:val="4472C4" w:themeColor="accent1"/>
        </w:rPr>
        <w:t>27</w:t>
      </w:r>
      <w:r w:rsidRPr="00FE20BD">
        <w:rPr>
          <w:rStyle w:val="IntenseEmphasis"/>
          <w:i w:val="0"/>
          <w:iCs w:val="0"/>
          <w:color w:val="auto"/>
        </w:rPr>
        <w:t>] proposed a fusion method using the wavelet denoising (WD) method and the GPFR model. The WD method was applied to remove noise from the original data, enhancing the accuracy of Remaining Useful Life (RUL) predictions. However, this method primarily focused on the degradation trend of batteries and overlooked the regeneration phenomenon in battery rest life.</w:t>
      </w:r>
    </w:p>
    <w:p w14:paraId="13CA5A37" w14:textId="5BD759C6" w:rsidR="00FE20BD" w:rsidRPr="00FE20BD" w:rsidRDefault="00FE20BD" w:rsidP="00D165BE">
      <w:pPr>
        <w:jc w:val="both"/>
        <w:rPr>
          <w:rStyle w:val="IntenseEmphasis"/>
          <w:i w:val="0"/>
          <w:iCs w:val="0"/>
          <w:color w:val="auto"/>
        </w:rPr>
      </w:pPr>
      <w:r w:rsidRPr="00FE20BD">
        <w:rPr>
          <w:rStyle w:val="IntenseEmphasis"/>
          <w:i w:val="0"/>
          <w:iCs w:val="0"/>
          <w:color w:val="auto"/>
        </w:rPr>
        <w:t xml:space="preserve">In light of these considerations, some researchers have explored indirect features as substitutes for capacity data to overcome measurement challenges related to </w:t>
      </w:r>
      <w:r w:rsidRPr="00FE20BD">
        <w:rPr>
          <w:rStyle w:val="IntenseEmphasis"/>
          <w:i w:val="0"/>
          <w:iCs w:val="0"/>
          <w:color w:val="auto"/>
        </w:rPr>
        <w:lastRenderedPageBreak/>
        <w:t>impedance and resistance. These indirect features, easily measurable in real-time and online, include current, voltage, and temperature. Yang et al</w:t>
      </w:r>
      <w:r w:rsidR="00D61A23">
        <w:rPr>
          <w:rStyle w:val="IntenseEmphasis"/>
          <w:i w:val="0"/>
          <w:iCs w:val="0"/>
          <w:color w:val="auto"/>
        </w:rPr>
        <w:t xml:space="preserve">. </w:t>
      </w:r>
      <w:r w:rsidRPr="00FE20BD">
        <w:rPr>
          <w:rStyle w:val="IntenseEmphasis"/>
          <w:i w:val="0"/>
          <w:iCs w:val="0"/>
          <w:color w:val="auto"/>
        </w:rPr>
        <w:t>extracted specific parameters from charging curves and used them as inputs for the GPR model, offering practical applicability. However, focusing solely on the charging process voltage change curve resulted in reduced prediction accuracy due to low correlation with capacity.</w:t>
      </w:r>
    </w:p>
    <w:p w14:paraId="54F39A8A" w14:textId="292A2795" w:rsidR="00FE20BD" w:rsidRPr="00FE20BD" w:rsidRDefault="00FE20BD" w:rsidP="00D165BE">
      <w:pPr>
        <w:jc w:val="both"/>
        <w:rPr>
          <w:rStyle w:val="IntenseEmphasis"/>
          <w:i w:val="0"/>
          <w:iCs w:val="0"/>
          <w:color w:val="auto"/>
        </w:rPr>
      </w:pPr>
      <w:r w:rsidRPr="00FE20BD">
        <w:rPr>
          <w:rStyle w:val="IntenseEmphasis"/>
          <w:i w:val="0"/>
          <w:iCs w:val="0"/>
          <w:color w:val="auto"/>
        </w:rPr>
        <w:t xml:space="preserve">To address the capacity unmeasurable problem, this paper proposes a method to extract measurable degradation indicators from the charge and discharge process of lithium-ion batteries. These indicators, highly relevant to capacity fade, serve as indirect health indicators (IHIs) for predicting short-term SOH using the GPR model. The approach involves extracting IHIs from readily available sensor data, such as voltage, current, and temperature curves. Grey relation analysis is then employed to select IHIs with high correlation to the capacity degradation curve. The GPR model is subsequently applied for short-term SOH predictions using the chosen IHIs. </w:t>
      </w:r>
    </w:p>
    <w:p w14:paraId="207C8091" w14:textId="77777777" w:rsidR="00FE20BD" w:rsidRPr="00FE20BD" w:rsidRDefault="00FE20BD" w:rsidP="00D165BE">
      <w:pPr>
        <w:jc w:val="both"/>
        <w:rPr>
          <w:rStyle w:val="IntenseEmphasis"/>
          <w:i w:val="0"/>
          <w:iCs w:val="0"/>
          <w:color w:val="auto"/>
        </w:rPr>
      </w:pPr>
      <w:r w:rsidRPr="00FE20BD">
        <w:rPr>
          <w:rStyle w:val="IntenseEmphasis"/>
          <w:i w:val="0"/>
          <w:iCs w:val="0"/>
          <w:color w:val="auto"/>
        </w:rPr>
        <w:t>The paper is organized as follows: Section 2 briefly introduces the selection and extraction of IHIs. Section 3 discusses the prediction method based on Gaussian process regression. Section 4 presents the simulation results of SOH. Finally, Section 5 provides the conclusions.</w:t>
      </w:r>
    </w:p>
    <w:p w14:paraId="1B8472B6" w14:textId="77777777" w:rsidR="00FE20BD" w:rsidRPr="00FE20BD" w:rsidRDefault="00FE20BD" w:rsidP="00FE20BD">
      <w:pPr>
        <w:jc w:val="both"/>
        <w:rPr>
          <w:rStyle w:val="IntenseEmphasis"/>
          <w:i w:val="0"/>
          <w:iCs w:val="0"/>
          <w:color w:val="auto"/>
        </w:rPr>
      </w:pPr>
    </w:p>
    <w:p w14:paraId="745D37E7" w14:textId="7E9C6B1B" w:rsidR="00FE20BD" w:rsidRPr="00FE20BD" w:rsidRDefault="00FE20BD" w:rsidP="00FE20BD">
      <w:pPr>
        <w:rPr>
          <w:rStyle w:val="IntenseEmphasis"/>
          <w:i w:val="0"/>
          <w:iCs w:val="0"/>
          <w:color w:val="auto"/>
        </w:rPr>
      </w:pPr>
    </w:p>
    <w:p w14:paraId="793AA4DF" w14:textId="59D3EC68" w:rsidR="008F29E1" w:rsidRPr="00026C7F" w:rsidRDefault="008F29E1" w:rsidP="008F29E1">
      <w:pPr>
        <w:rPr>
          <w:lang w:val="en-US"/>
        </w:rPr>
      </w:pPr>
    </w:p>
    <w:p w14:paraId="6EDC3C43" w14:textId="7AABA62C" w:rsidR="00DC23B3" w:rsidRPr="006C08E5" w:rsidRDefault="00DC23B3">
      <w:pPr>
        <w:rPr>
          <w:lang w:val="en-US"/>
        </w:rPr>
      </w:pPr>
      <w:r>
        <w:br w:type="page"/>
      </w:r>
    </w:p>
    <w:p w14:paraId="7ACB6401" w14:textId="14BF5776" w:rsidR="003228B2" w:rsidRDefault="00AB03AA" w:rsidP="00EE528B">
      <w:pPr>
        <w:pStyle w:val="Heading1"/>
      </w:pPr>
      <w:bookmarkStart w:id="10" w:name="_Toc152946064"/>
      <w:r>
        <w:lastRenderedPageBreak/>
        <w:t>Methodology</w:t>
      </w:r>
      <w:bookmarkEnd w:id="10"/>
    </w:p>
    <w:p w14:paraId="72C59EBB" w14:textId="77777777" w:rsidR="00B74CB0" w:rsidRDefault="00B74CB0" w:rsidP="00B74CB0">
      <w:pPr>
        <w:rPr>
          <w:lang w:val="en-US"/>
        </w:rPr>
      </w:pPr>
    </w:p>
    <w:p w14:paraId="751F4749" w14:textId="3DFF6F3A" w:rsidR="00B74CB0" w:rsidRDefault="00B74CB0" w:rsidP="003D42D9">
      <w:pPr>
        <w:pStyle w:val="Heading2"/>
      </w:pPr>
      <w:bookmarkStart w:id="11" w:name="_Toc152946065"/>
      <w:proofErr w:type="gramStart"/>
      <w:r>
        <w:t>2.1  Extraction</w:t>
      </w:r>
      <w:proofErr w:type="gramEnd"/>
      <w:r>
        <w:t xml:space="preserve"> of Indirect Health Indicators</w:t>
      </w:r>
      <w:bookmarkEnd w:id="11"/>
    </w:p>
    <w:p w14:paraId="3FB58D43" w14:textId="77777777" w:rsidR="00B74CB0" w:rsidRDefault="00B74CB0" w:rsidP="00B74CB0">
      <w:pPr>
        <w:rPr>
          <w:lang w:val="en-US"/>
        </w:rPr>
      </w:pPr>
    </w:p>
    <w:p w14:paraId="1003B7C9" w14:textId="18635C25" w:rsidR="00B74CB0" w:rsidRDefault="00B74CB0" w:rsidP="00957C1A">
      <w:pPr>
        <w:pStyle w:val="Heading3"/>
      </w:pPr>
      <w:bookmarkStart w:id="12" w:name="_Toc152946066"/>
      <w:proofErr w:type="gramStart"/>
      <w:r>
        <w:t>2.1.1  Experimental</w:t>
      </w:r>
      <w:proofErr w:type="gramEnd"/>
      <w:r>
        <w:t xml:space="preserve"> Data</w:t>
      </w:r>
      <w:bookmarkEnd w:id="12"/>
    </w:p>
    <w:p w14:paraId="54841D3F" w14:textId="77777777" w:rsidR="00B74CB0" w:rsidRDefault="00B74CB0" w:rsidP="00B74CB0">
      <w:pPr>
        <w:rPr>
          <w:lang w:val="en-US"/>
        </w:rPr>
      </w:pPr>
    </w:p>
    <w:p w14:paraId="0B97469A" w14:textId="2BCC52E3" w:rsidR="00E93342" w:rsidRDefault="00B74CB0" w:rsidP="00B74CB0">
      <w:pPr>
        <w:jc w:val="both"/>
        <w:rPr>
          <w:rStyle w:val="IntenseEmphasis"/>
          <w:i w:val="0"/>
          <w:iCs w:val="0"/>
          <w:color w:val="auto"/>
        </w:rPr>
      </w:pPr>
      <w:r w:rsidRPr="00B74CB0">
        <w:rPr>
          <w:rStyle w:val="IntenseEmphasis"/>
          <w:i w:val="0"/>
          <w:iCs w:val="0"/>
          <w:color w:val="auto"/>
        </w:rPr>
        <w:t xml:space="preserve">The lithium-ion battery dataset employed in this study originates from the open dataset provided by NASA Ames Prognostics </w:t>
      </w:r>
      <w:proofErr w:type="spellStart"/>
      <w:r w:rsidRPr="00B74CB0">
        <w:rPr>
          <w:rStyle w:val="IntenseEmphasis"/>
          <w:i w:val="0"/>
          <w:iCs w:val="0"/>
          <w:color w:val="auto"/>
        </w:rPr>
        <w:t>Center</w:t>
      </w:r>
      <w:proofErr w:type="spellEnd"/>
      <w:r w:rsidRPr="00B74CB0">
        <w:rPr>
          <w:rStyle w:val="IntenseEmphasis"/>
          <w:i w:val="0"/>
          <w:iCs w:val="0"/>
          <w:color w:val="auto"/>
        </w:rPr>
        <w:t xml:space="preserve"> of Excellence (</w:t>
      </w:r>
      <w:proofErr w:type="spellStart"/>
      <w:r w:rsidRPr="00B74CB0">
        <w:rPr>
          <w:rStyle w:val="IntenseEmphasis"/>
          <w:i w:val="0"/>
          <w:iCs w:val="0"/>
          <w:color w:val="auto"/>
        </w:rPr>
        <w:t>PCoE</w:t>
      </w:r>
      <w:proofErr w:type="spellEnd"/>
      <w:r w:rsidRPr="00B74CB0">
        <w:rPr>
          <w:rStyle w:val="IntenseEmphasis"/>
          <w:i w:val="0"/>
          <w:iCs w:val="0"/>
          <w:color w:val="auto"/>
        </w:rPr>
        <w:t xml:space="preserve">) </w:t>
      </w:r>
      <w:r w:rsidR="00233A03">
        <w:t>[</w:t>
      </w:r>
      <w:r w:rsidR="00233A03" w:rsidRPr="00586945">
        <w:rPr>
          <w:color w:val="4472C4" w:themeColor="accent1"/>
        </w:rPr>
        <w:t>28</w:t>
      </w:r>
      <w:r w:rsidRPr="00233A03">
        <w:rPr>
          <w:rStyle w:val="IntenseEmphasis"/>
          <w:i w:val="0"/>
          <w:iCs w:val="0"/>
          <w:color w:val="auto"/>
        </w:rPr>
        <w:t>].</w:t>
      </w:r>
      <w:r w:rsidRPr="00B74CB0">
        <w:rPr>
          <w:rStyle w:val="IntenseEmphasis"/>
          <w:i w:val="0"/>
          <w:iCs w:val="0"/>
          <w:color w:val="auto"/>
        </w:rPr>
        <w:t xml:space="preserve"> The dataset includes experimental data from four lithium-ion batteries, namely Batteries 5, 6, 7, and 18. These batteries underwent charging and discharging processes, with impedance measurements taken under various operating conditions at a room temperature of 24°C. The charging process was conducted in two steps. Initially, a constant current charging of 1.5 A was applied until the battery voltage reached 4.2 V. Subsequently, the second step involved constant voltage charging to maintain the battery voltage at 4.2 V while reducing the current to 20 mA. The discharging procedure involved applying a continuous current of 2 A until the voltage of Batteries 5, 6, 7, and 18 dropped to specific levels: 2.7 V, 2.5 V, 2.2 V, and 2.5 V, respectively. The capacity degradation curve for each battery is depicted in Figure 1.</w:t>
      </w:r>
    </w:p>
    <w:p w14:paraId="43DDD0DF" w14:textId="5E652B48" w:rsidR="00B74CB0" w:rsidRDefault="00E93342" w:rsidP="00B74CB0">
      <w:pPr>
        <w:jc w:val="both"/>
        <w:rPr>
          <w:rStyle w:val="IntenseEmphasis"/>
          <w:i w:val="0"/>
          <w:iCs w:val="0"/>
          <w:color w:val="auto"/>
        </w:rPr>
      </w:pPr>
      <w:r>
        <w:rPr>
          <w:rStyle w:val="IntenseEmphasis"/>
          <w:i w:val="0"/>
          <w:iCs w:val="0"/>
          <w:color w:val="auto"/>
        </w:rPr>
        <w:t xml:space="preserve">            </w:t>
      </w:r>
      <w:r w:rsidR="00AB2264">
        <w:rPr>
          <w:noProof/>
          <w:lang w:eastAsia="en-IN"/>
        </w:rPr>
        <w:drawing>
          <wp:inline distT="0" distB="0" distL="0" distR="0" wp14:anchorId="184B454D" wp14:editId="5195E0FD">
            <wp:extent cx="4848447" cy="3702697"/>
            <wp:effectExtent l="0" t="0" r="9525" b="0"/>
            <wp:docPr id="47296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61002" name="Picture 472961002"/>
                    <pic:cNvPicPr/>
                  </pic:nvPicPr>
                  <pic:blipFill rotWithShape="1">
                    <a:blip r:embed="rId13">
                      <a:extLst>
                        <a:ext uri="{28A0092B-C50C-407E-A947-70E740481C1C}">
                          <a14:useLocalDpi xmlns:a14="http://schemas.microsoft.com/office/drawing/2010/main" val="0"/>
                        </a:ext>
                      </a:extLst>
                    </a:blip>
                    <a:srcRect l="7434" t="5516" r="4467" b="4773"/>
                    <a:stretch/>
                  </pic:blipFill>
                  <pic:spPr bwMode="auto">
                    <a:xfrm>
                      <a:off x="0" y="0"/>
                      <a:ext cx="4923844" cy="3760277"/>
                    </a:xfrm>
                    <a:prstGeom prst="rect">
                      <a:avLst/>
                    </a:prstGeom>
                    <a:ln>
                      <a:noFill/>
                    </a:ln>
                    <a:extLst>
                      <a:ext uri="{53640926-AAD7-44D8-BBD7-CCE9431645EC}">
                        <a14:shadowObscured xmlns:a14="http://schemas.microsoft.com/office/drawing/2010/main"/>
                      </a:ext>
                    </a:extLst>
                  </pic:spPr>
                </pic:pic>
              </a:graphicData>
            </a:graphic>
          </wp:inline>
        </w:drawing>
      </w:r>
    </w:p>
    <w:p w14:paraId="5CF12D38" w14:textId="5591DB09" w:rsidR="00C2657A" w:rsidRPr="007B1909" w:rsidRDefault="00C2657A" w:rsidP="00B74CB0">
      <w:pPr>
        <w:jc w:val="both"/>
        <w:rPr>
          <w:rStyle w:val="IntenseEmphasis"/>
          <w:bCs/>
          <w:i w:val="0"/>
          <w:iCs w:val="0"/>
          <w:color w:val="auto"/>
        </w:rPr>
      </w:pPr>
      <w:r>
        <w:rPr>
          <w:rStyle w:val="IntenseEmphasis"/>
          <w:i w:val="0"/>
          <w:iCs w:val="0"/>
          <w:color w:val="auto"/>
        </w:rPr>
        <w:t xml:space="preserve">                  </w:t>
      </w:r>
      <w:r w:rsidR="007B1909">
        <w:rPr>
          <w:rStyle w:val="IntenseEmphasis"/>
          <w:i w:val="0"/>
          <w:iCs w:val="0"/>
          <w:color w:val="auto"/>
        </w:rPr>
        <w:t xml:space="preserve">             </w:t>
      </w:r>
      <w:r>
        <w:rPr>
          <w:rStyle w:val="IntenseEmphasis"/>
          <w:i w:val="0"/>
          <w:iCs w:val="0"/>
          <w:color w:val="auto"/>
        </w:rPr>
        <w:t xml:space="preserve"> </w:t>
      </w:r>
      <w:r w:rsidRPr="00B86ECD">
        <w:rPr>
          <w:rStyle w:val="IntenseEmphasis"/>
          <w:b/>
          <w:bCs/>
          <w:i w:val="0"/>
          <w:iCs w:val="0"/>
          <w:color w:val="auto"/>
        </w:rPr>
        <w:t xml:space="preserve">Figure </w:t>
      </w:r>
      <w:r w:rsidR="00D165BE">
        <w:rPr>
          <w:rStyle w:val="IntenseEmphasis"/>
          <w:b/>
          <w:bCs/>
          <w:i w:val="0"/>
          <w:iCs w:val="0"/>
          <w:color w:val="auto"/>
        </w:rPr>
        <w:t xml:space="preserve">1: </w:t>
      </w:r>
      <w:r w:rsidR="007B1909">
        <w:rPr>
          <w:rStyle w:val="IntenseEmphasis"/>
          <w:b/>
          <w:bCs/>
          <w:i w:val="0"/>
          <w:iCs w:val="0"/>
          <w:color w:val="auto"/>
        </w:rPr>
        <w:t xml:space="preserve"> </w:t>
      </w:r>
      <w:r w:rsidR="007B1909">
        <w:rPr>
          <w:rStyle w:val="IntenseEmphasis"/>
          <w:bCs/>
          <w:i w:val="0"/>
          <w:iCs w:val="0"/>
          <w:color w:val="auto"/>
        </w:rPr>
        <w:t>Capacity degradation curves of batteries</w:t>
      </w:r>
    </w:p>
    <w:p w14:paraId="2535BBFC" w14:textId="53E723B0" w:rsidR="001F5261" w:rsidRDefault="001F5261" w:rsidP="00957C1A">
      <w:pPr>
        <w:pStyle w:val="Heading3"/>
      </w:pPr>
      <w:bookmarkStart w:id="13" w:name="_Toc152946067"/>
      <w:proofErr w:type="gramStart"/>
      <w:r>
        <w:lastRenderedPageBreak/>
        <w:t>2.</w:t>
      </w:r>
      <w:r w:rsidR="00AD53E7">
        <w:t>1</w:t>
      </w:r>
      <w:r>
        <w:t>.</w:t>
      </w:r>
      <w:r w:rsidR="00AD53E7">
        <w:t>2</w:t>
      </w:r>
      <w:r w:rsidR="00F31AA2">
        <w:t xml:space="preserve">  </w:t>
      </w:r>
      <w:r>
        <w:t>Extraction</w:t>
      </w:r>
      <w:proofErr w:type="gramEnd"/>
      <w:r>
        <w:t xml:space="preserve"> of Indirect Health Indicators</w:t>
      </w:r>
      <w:bookmarkEnd w:id="13"/>
      <w:r>
        <w:t xml:space="preserve"> </w:t>
      </w:r>
    </w:p>
    <w:p w14:paraId="70A75E06" w14:textId="53CF60C3" w:rsidR="00E93342" w:rsidRDefault="001F5261" w:rsidP="00A940F7">
      <w:pPr>
        <w:jc w:val="both"/>
      </w:pPr>
      <w:r>
        <w:t xml:space="preserve">The capacity of lithium-ion batteries is usually obtained by measuring their internal resistance to reflect the specific capacity </w:t>
      </w:r>
      <w:r w:rsidR="00233A03" w:rsidRPr="00586945">
        <w:t>[</w:t>
      </w:r>
      <w:r w:rsidR="00233A03" w:rsidRPr="005B2C4A">
        <w:rPr>
          <w:color w:val="4472C4" w:themeColor="accent1"/>
        </w:rPr>
        <w:t>29</w:t>
      </w:r>
      <w:r w:rsidRPr="00586945">
        <w:t>].</w:t>
      </w:r>
      <w:r>
        <w:t xml:space="preserve"> This is because the impedance of the battery increases with the loss of battery life and capacity. But the condition of impedance measurement by impedance meter is harsh and time-consuming </w:t>
      </w:r>
      <w:r w:rsidR="00233A03" w:rsidRPr="006427F0">
        <w:t>[</w:t>
      </w:r>
      <w:r w:rsidR="00233A03" w:rsidRPr="006427F0">
        <w:rPr>
          <w:color w:val="4472C4" w:themeColor="accent1"/>
        </w:rPr>
        <w:t>30,31</w:t>
      </w:r>
      <w:r w:rsidRPr="006427F0">
        <w:t>].</w:t>
      </w:r>
      <w:r w:rsidRPr="005B2C4A">
        <w:t xml:space="preserve"> </w:t>
      </w:r>
      <w:r>
        <w:t xml:space="preserve">Therefore, it is more reasonable to estimate the SOH of lithium-ion batteries by using common sensors to measure some indirect parameters which are easy to obtain </w:t>
      </w:r>
      <w:r w:rsidR="00233A03">
        <w:t>[</w:t>
      </w:r>
      <w:r w:rsidR="00233A03" w:rsidRPr="00586945">
        <w:rPr>
          <w:color w:val="4472C4" w:themeColor="accent1"/>
        </w:rPr>
        <w:t>32</w:t>
      </w:r>
      <w:r>
        <w:t xml:space="preserve">]. In this paper, IHIs reflecting the capacity of lithium-ion batteries are extracted from the charge and discharge voltage, current, and temperature curves. The discharge process voltage of lithium-ion batteries with different cycles is shown in Figure 2. It can be seen that the time needed to reach the lowest discharge point (named IHI1) decreases with the increase of cycle numbers, and the time decrement from 3.8 V to 3.5 V (named IHI3) is also shortened. The discharge temperature of lithium-ion batteries with different cycles is shown in Figure 3. When the battery temperature rises to the highest point (named IHI2), the time decreases with the increase of the number of cycles. </w:t>
      </w:r>
    </w:p>
    <w:p w14:paraId="2447C00D" w14:textId="3283AFBC" w:rsidR="00C2657A" w:rsidRDefault="00E93342" w:rsidP="00C2657A">
      <w:r>
        <w:t xml:space="preserve">                               </w:t>
      </w:r>
      <w:r>
        <w:rPr>
          <w:noProof/>
          <w:lang w:eastAsia="en-IN"/>
        </w:rPr>
        <w:drawing>
          <wp:inline distT="0" distB="0" distL="0" distR="0" wp14:anchorId="7D5EF162" wp14:editId="52041C14">
            <wp:extent cx="5474734" cy="2355104"/>
            <wp:effectExtent l="0" t="0" r="0" b="7620"/>
            <wp:docPr id="399697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97709" name="Picture 399697709"/>
                    <pic:cNvPicPr/>
                  </pic:nvPicPr>
                  <pic:blipFill>
                    <a:blip r:embed="rId14">
                      <a:extLst>
                        <a:ext uri="{28A0092B-C50C-407E-A947-70E740481C1C}">
                          <a14:useLocalDpi xmlns:a14="http://schemas.microsoft.com/office/drawing/2010/main" val="0"/>
                        </a:ext>
                      </a:extLst>
                    </a:blip>
                    <a:stretch>
                      <a:fillRect/>
                    </a:stretch>
                  </pic:blipFill>
                  <pic:spPr>
                    <a:xfrm>
                      <a:off x="0" y="0"/>
                      <a:ext cx="5627568" cy="2420850"/>
                    </a:xfrm>
                    <a:prstGeom prst="rect">
                      <a:avLst/>
                    </a:prstGeom>
                  </pic:spPr>
                </pic:pic>
              </a:graphicData>
            </a:graphic>
          </wp:inline>
        </w:drawing>
      </w:r>
    </w:p>
    <w:p w14:paraId="59A9D119" w14:textId="0B9A8498" w:rsidR="00E93342" w:rsidRPr="00E93342" w:rsidRDefault="00E93342" w:rsidP="006427F0">
      <w:pPr>
        <w:pStyle w:val="NoSpacing"/>
      </w:pPr>
      <w:r>
        <w:t xml:space="preserve">              </w:t>
      </w:r>
      <w:r w:rsidRPr="00B86ECD">
        <w:t xml:space="preserve"> </w:t>
      </w:r>
      <w:r w:rsidRPr="006427F0">
        <w:rPr>
          <w:b/>
        </w:rPr>
        <w:t>Figure</w:t>
      </w:r>
      <w:r w:rsidR="00A940F7" w:rsidRPr="006427F0">
        <w:rPr>
          <w:b/>
        </w:rPr>
        <w:t xml:space="preserve"> 2</w:t>
      </w:r>
      <w:r w:rsidRPr="00B86ECD">
        <w:t xml:space="preserve">. </w:t>
      </w:r>
      <w:r w:rsidRPr="006427F0">
        <w:t>Discharging voltage curves of No. 5 with different cycles</w:t>
      </w:r>
      <w:r w:rsidRPr="00B86ECD">
        <w:rPr>
          <w:noProof/>
          <w:lang w:val="en-US"/>
        </w:rPr>
        <w:t>.</w:t>
      </w:r>
      <w:r>
        <w:rPr>
          <w:noProof/>
          <w:lang w:eastAsia="en-IN"/>
        </w:rPr>
        <w:drawing>
          <wp:inline distT="0" distB="0" distL="0" distR="0" wp14:anchorId="64215453" wp14:editId="5F282855">
            <wp:extent cx="5693821" cy="2136140"/>
            <wp:effectExtent l="0" t="0" r="2540" b="0"/>
            <wp:docPr id="240077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77388" name="Picture 240077388"/>
                    <pic:cNvPicPr/>
                  </pic:nvPicPr>
                  <pic:blipFill>
                    <a:blip r:embed="rId15">
                      <a:extLst>
                        <a:ext uri="{28A0092B-C50C-407E-A947-70E740481C1C}">
                          <a14:useLocalDpi xmlns:a14="http://schemas.microsoft.com/office/drawing/2010/main" val="0"/>
                        </a:ext>
                      </a:extLst>
                    </a:blip>
                    <a:stretch>
                      <a:fillRect/>
                    </a:stretch>
                  </pic:blipFill>
                  <pic:spPr>
                    <a:xfrm>
                      <a:off x="0" y="0"/>
                      <a:ext cx="5729855" cy="2149659"/>
                    </a:xfrm>
                    <a:prstGeom prst="rect">
                      <a:avLst/>
                    </a:prstGeom>
                  </pic:spPr>
                </pic:pic>
              </a:graphicData>
            </a:graphic>
          </wp:inline>
        </w:drawing>
      </w:r>
    </w:p>
    <w:p w14:paraId="42BD955E" w14:textId="6A11501F" w:rsidR="00C2657A" w:rsidRDefault="00E93342" w:rsidP="006427F0">
      <w:pPr>
        <w:pStyle w:val="NoSpacing"/>
      </w:pPr>
      <w:r w:rsidRPr="006427F0">
        <w:rPr>
          <w:b/>
          <w:lang w:val="en-US"/>
        </w:rPr>
        <w:t xml:space="preserve">               Figure 3.</w:t>
      </w:r>
      <w:r w:rsidRPr="006427F0">
        <w:t xml:space="preserve"> Discharging temperature curves of No. 5 with different cycles.</w:t>
      </w:r>
    </w:p>
    <w:p w14:paraId="58CE5748" w14:textId="77777777" w:rsidR="00044295" w:rsidRPr="00044295" w:rsidRDefault="00044295" w:rsidP="00957C1A">
      <w:pPr>
        <w:pStyle w:val="Heading3"/>
        <w:rPr>
          <w:rStyle w:val="IntenseEmphasis"/>
          <w:i w:val="0"/>
          <w:iCs w:val="0"/>
          <w:color w:val="auto"/>
        </w:rPr>
      </w:pPr>
      <w:bookmarkStart w:id="14" w:name="_Toc152946068"/>
      <w:proofErr w:type="gramStart"/>
      <w:r w:rsidRPr="00044295">
        <w:rPr>
          <w:rStyle w:val="IntenseEmphasis"/>
          <w:i w:val="0"/>
          <w:iCs w:val="0"/>
          <w:color w:val="auto"/>
        </w:rPr>
        <w:lastRenderedPageBreak/>
        <w:t>2.1.3  Grey</w:t>
      </w:r>
      <w:proofErr w:type="gramEnd"/>
      <w:r w:rsidRPr="00044295">
        <w:rPr>
          <w:rStyle w:val="IntenseEmphasis"/>
          <w:i w:val="0"/>
          <w:iCs w:val="0"/>
          <w:color w:val="auto"/>
        </w:rPr>
        <w:t xml:space="preserve"> Relational Analysis</w:t>
      </w:r>
      <w:bookmarkEnd w:id="14"/>
    </w:p>
    <w:p w14:paraId="5DC79883" w14:textId="77777777" w:rsidR="00044295" w:rsidRPr="00044295" w:rsidRDefault="00044295" w:rsidP="00044295">
      <w:pPr>
        <w:rPr>
          <w:lang w:val="en-US"/>
        </w:rPr>
      </w:pPr>
    </w:p>
    <w:p w14:paraId="2937AE63" w14:textId="5C455642" w:rsidR="00B74CB0" w:rsidRPr="00044295" w:rsidRDefault="00044295" w:rsidP="00B74CB0">
      <w:r w:rsidRPr="00044295">
        <w:t xml:space="preserve">The analysis of similarity between the development trend of the comparison sequence and the reference sequence is conducted using grey relational analysis (GRA) </w:t>
      </w:r>
      <w:hyperlink w:anchor="_References" w:history="1">
        <w:r w:rsidR="00233A03">
          <w:rPr>
            <w:rStyle w:val="Hyperlink"/>
          </w:rPr>
          <w:t>[33</w:t>
        </w:r>
        <w:r w:rsidRPr="00D61A23">
          <w:rPr>
            <w:rStyle w:val="Hyperlink"/>
          </w:rPr>
          <w:t>].</w:t>
        </w:r>
      </w:hyperlink>
      <w:r w:rsidRPr="00044295">
        <w:t xml:space="preserve"> In this study, eight Indirect Health Indicators (IHIs) are extracted as comparison sequences, with a capacity degradation curve serving as the reference sequence. To ensure the validity and eliminate redundancy in the analysis, precautions are taken.</w:t>
      </w:r>
    </w:p>
    <w:p w14:paraId="68620190" w14:textId="33266443" w:rsidR="00A940F7" w:rsidRDefault="00A940F7" w:rsidP="00A940F7">
      <w:pPr>
        <w:rPr>
          <w:b/>
          <w:bCs/>
          <w:lang w:val="en-US"/>
        </w:rPr>
      </w:pPr>
      <w:r>
        <w:rPr>
          <w:lang w:val="en-US"/>
        </w:rPr>
        <w:t xml:space="preserve">                                               </w:t>
      </w:r>
      <w:r w:rsidRPr="00B86ECD">
        <w:rPr>
          <w:b/>
          <w:bCs/>
          <w:lang w:val="en-US"/>
        </w:rPr>
        <w:t>Table 1. Correlation Table</w:t>
      </w:r>
    </w:p>
    <w:tbl>
      <w:tblPr>
        <w:tblStyle w:val="TableGrid"/>
        <w:tblpPr w:leftFromText="180" w:rightFromText="180" w:vertAnchor="page" w:horzAnchor="page" w:tblpX="1936" w:tblpY="4846"/>
        <w:tblW w:w="0" w:type="auto"/>
        <w:tblLook w:val="04A0" w:firstRow="1" w:lastRow="0" w:firstColumn="1" w:lastColumn="0" w:noHBand="0" w:noVBand="1"/>
      </w:tblPr>
      <w:tblGrid>
        <w:gridCol w:w="2938"/>
        <w:gridCol w:w="1490"/>
        <w:gridCol w:w="1490"/>
        <w:gridCol w:w="1490"/>
        <w:gridCol w:w="1608"/>
      </w:tblGrid>
      <w:tr w:rsidR="00A940F7" w14:paraId="13C07807" w14:textId="77777777" w:rsidTr="00B2673F">
        <w:trPr>
          <w:trHeight w:val="416"/>
        </w:trPr>
        <w:tc>
          <w:tcPr>
            <w:tcW w:w="0" w:type="auto"/>
          </w:tcPr>
          <w:p w14:paraId="4BE39613" w14:textId="77777777" w:rsidR="00A940F7" w:rsidRDefault="00A940F7" w:rsidP="00A940F7">
            <w:pPr>
              <w:jc w:val="center"/>
              <w:rPr>
                <w:lang w:val="en-US"/>
              </w:rPr>
            </w:pPr>
            <w:r>
              <w:t>Indirect Health Indicators</w:t>
            </w:r>
          </w:p>
        </w:tc>
        <w:tc>
          <w:tcPr>
            <w:tcW w:w="0" w:type="auto"/>
          </w:tcPr>
          <w:p w14:paraId="750131A3" w14:textId="77777777" w:rsidR="00A940F7" w:rsidRDefault="00A940F7" w:rsidP="00A940F7">
            <w:pPr>
              <w:jc w:val="center"/>
              <w:rPr>
                <w:lang w:val="en-US"/>
              </w:rPr>
            </w:pPr>
            <w:r>
              <w:rPr>
                <w:lang w:val="en-US"/>
              </w:rPr>
              <w:t>GACC No.5</w:t>
            </w:r>
          </w:p>
        </w:tc>
        <w:tc>
          <w:tcPr>
            <w:tcW w:w="0" w:type="auto"/>
          </w:tcPr>
          <w:p w14:paraId="49DA3925" w14:textId="77777777" w:rsidR="00A940F7" w:rsidRDefault="00A940F7" w:rsidP="00A940F7">
            <w:pPr>
              <w:jc w:val="center"/>
              <w:rPr>
                <w:lang w:val="en-US"/>
              </w:rPr>
            </w:pPr>
            <w:r>
              <w:rPr>
                <w:lang w:val="en-US"/>
              </w:rPr>
              <w:t>GACC No.6</w:t>
            </w:r>
          </w:p>
        </w:tc>
        <w:tc>
          <w:tcPr>
            <w:tcW w:w="0" w:type="auto"/>
          </w:tcPr>
          <w:p w14:paraId="53CF0EE4" w14:textId="77777777" w:rsidR="00A940F7" w:rsidRDefault="00A940F7" w:rsidP="00A940F7">
            <w:pPr>
              <w:jc w:val="center"/>
              <w:rPr>
                <w:lang w:val="en-US"/>
              </w:rPr>
            </w:pPr>
            <w:r>
              <w:rPr>
                <w:lang w:val="en-US"/>
              </w:rPr>
              <w:t>GACC No.7</w:t>
            </w:r>
          </w:p>
        </w:tc>
        <w:tc>
          <w:tcPr>
            <w:tcW w:w="0" w:type="auto"/>
          </w:tcPr>
          <w:p w14:paraId="497B217C" w14:textId="77777777" w:rsidR="00A940F7" w:rsidRDefault="00A940F7" w:rsidP="00A940F7">
            <w:pPr>
              <w:jc w:val="center"/>
              <w:rPr>
                <w:lang w:val="en-US"/>
              </w:rPr>
            </w:pPr>
            <w:r>
              <w:rPr>
                <w:lang w:val="en-US"/>
              </w:rPr>
              <w:t>GACC No.18</w:t>
            </w:r>
          </w:p>
        </w:tc>
      </w:tr>
      <w:tr w:rsidR="00A940F7" w14:paraId="45569A70" w14:textId="77777777" w:rsidTr="00B2673F">
        <w:trPr>
          <w:trHeight w:val="799"/>
        </w:trPr>
        <w:tc>
          <w:tcPr>
            <w:tcW w:w="0" w:type="auto"/>
          </w:tcPr>
          <w:p w14:paraId="59C9602F" w14:textId="77777777" w:rsidR="00A940F7" w:rsidRDefault="00A940F7" w:rsidP="00A940F7">
            <w:pPr>
              <w:jc w:val="center"/>
              <w:rPr>
                <w:lang w:val="en-US"/>
              </w:rPr>
            </w:pPr>
            <w:r>
              <w:rPr>
                <w:lang w:val="en-US"/>
              </w:rPr>
              <w:t>IHI1</w:t>
            </w:r>
          </w:p>
        </w:tc>
        <w:tc>
          <w:tcPr>
            <w:tcW w:w="0" w:type="auto"/>
          </w:tcPr>
          <w:p w14:paraId="1D7BDB65" w14:textId="77777777" w:rsidR="00A940F7" w:rsidRDefault="00A940F7" w:rsidP="00A940F7">
            <w:pPr>
              <w:jc w:val="center"/>
              <w:rPr>
                <w:lang w:val="en-US"/>
              </w:rPr>
            </w:pPr>
            <w:r>
              <w:rPr>
                <w:lang w:val="en-US"/>
              </w:rPr>
              <w:t>0.9996</w:t>
            </w:r>
          </w:p>
        </w:tc>
        <w:tc>
          <w:tcPr>
            <w:tcW w:w="0" w:type="auto"/>
          </w:tcPr>
          <w:p w14:paraId="339C6FE2" w14:textId="77777777" w:rsidR="00A940F7" w:rsidRDefault="00A940F7" w:rsidP="00A940F7">
            <w:pPr>
              <w:jc w:val="center"/>
              <w:rPr>
                <w:lang w:val="en-US"/>
              </w:rPr>
            </w:pPr>
            <w:r>
              <w:rPr>
                <w:lang w:val="en-US"/>
              </w:rPr>
              <w:t>0.9989</w:t>
            </w:r>
          </w:p>
        </w:tc>
        <w:tc>
          <w:tcPr>
            <w:tcW w:w="0" w:type="auto"/>
          </w:tcPr>
          <w:p w14:paraId="137D01CD" w14:textId="77777777" w:rsidR="00A940F7" w:rsidRDefault="00A940F7" w:rsidP="00A940F7">
            <w:pPr>
              <w:jc w:val="center"/>
              <w:rPr>
                <w:lang w:val="en-US"/>
              </w:rPr>
            </w:pPr>
            <w:r>
              <w:rPr>
                <w:lang w:val="en-US"/>
              </w:rPr>
              <w:t>0.9988</w:t>
            </w:r>
          </w:p>
        </w:tc>
        <w:tc>
          <w:tcPr>
            <w:tcW w:w="0" w:type="auto"/>
          </w:tcPr>
          <w:p w14:paraId="3DBAE100" w14:textId="77777777" w:rsidR="00A940F7" w:rsidRDefault="00A940F7" w:rsidP="00A940F7">
            <w:pPr>
              <w:jc w:val="center"/>
              <w:rPr>
                <w:lang w:val="en-US"/>
              </w:rPr>
            </w:pPr>
            <w:r>
              <w:rPr>
                <w:lang w:val="en-US"/>
              </w:rPr>
              <w:t>0.9987</w:t>
            </w:r>
          </w:p>
        </w:tc>
      </w:tr>
      <w:tr w:rsidR="00A940F7" w14:paraId="116D7AA9" w14:textId="77777777" w:rsidTr="00B2673F">
        <w:trPr>
          <w:trHeight w:val="737"/>
        </w:trPr>
        <w:tc>
          <w:tcPr>
            <w:tcW w:w="0" w:type="auto"/>
          </w:tcPr>
          <w:p w14:paraId="266F8192" w14:textId="77777777" w:rsidR="00A940F7" w:rsidRDefault="00A940F7" w:rsidP="00A940F7">
            <w:pPr>
              <w:jc w:val="center"/>
              <w:rPr>
                <w:lang w:val="en-US"/>
              </w:rPr>
            </w:pPr>
            <w:r>
              <w:rPr>
                <w:lang w:val="en-US"/>
              </w:rPr>
              <w:t>IHI2</w:t>
            </w:r>
          </w:p>
        </w:tc>
        <w:tc>
          <w:tcPr>
            <w:tcW w:w="0" w:type="auto"/>
          </w:tcPr>
          <w:p w14:paraId="1ECA9170" w14:textId="77777777" w:rsidR="00A940F7" w:rsidRDefault="00A940F7" w:rsidP="00A940F7">
            <w:pPr>
              <w:jc w:val="center"/>
              <w:rPr>
                <w:lang w:val="en-US"/>
              </w:rPr>
            </w:pPr>
            <w:r>
              <w:rPr>
                <w:lang w:val="en-US"/>
              </w:rPr>
              <w:t>0.9991</w:t>
            </w:r>
          </w:p>
        </w:tc>
        <w:tc>
          <w:tcPr>
            <w:tcW w:w="0" w:type="auto"/>
          </w:tcPr>
          <w:p w14:paraId="5C3A2F88" w14:textId="77777777" w:rsidR="00A940F7" w:rsidRDefault="00A940F7" w:rsidP="00A940F7">
            <w:pPr>
              <w:jc w:val="center"/>
              <w:rPr>
                <w:lang w:val="en-US"/>
              </w:rPr>
            </w:pPr>
            <w:r>
              <w:rPr>
                <w:lang w:val="en-US"/>
              </w:rPr>
              <w:t>0.9984</w:t>
            </w:r>
          </w:p>
        </w:tc>
        <w:tc>
          <w:tcPr>
            <w:tcW w:w="0" w:type="auto"/>
          </w:tcPr>
          <w:p w14:paraId="3F3E56F0" w14:textId="77777777" w:rsidR="00A940F7" w:rsidRDefault="00A940F7" w:rsidP="00A940F7">
            <w:pPr>
              <w:jc w:val="center"/>
              <w:rPr>
                <w:lang w:val="en-US"/>
              </w:rPr>
            </w:pPr>
            <w:r>
              <w:rPr>
                <w:lang w:val="en-US"/>
              </w:rPr>
              <w:t>0.9978</w:t>
            </w:r>
          </w:p>
        </w:tc>
        <w:tc>
          <w:tcPr>
            <w:tcW w:w="0" w:type="auto"/>
          </w:tcPr>
          <w:p w14:paraId="559A098E" w14:textId="77777777" w:rsidR="00A940F7" w:rsidRDefault="00A940F7" w:rsidP="00A940F7">
            <w:pPr>
              <w:jc w:val="center"/>
              <w:rPr>
                <w:lang w:val="en-US"/>
              </w:rPr>
            </w:pPr>
            <w:r>
              <w:rPr>
                <w:lang w:val="en-US"/>
              </w:rPr>
              <w:t>0.9977</w:t>
            </w:r>
          </w:p>
        </w:tc>
      </w:tr>
      <w:tr w:rsidR="00A940F7" w14:paraId="253E4298" w14:textId="77777777" w:rsidTr="00B2673F">
        <w:trPr>
          <w:trHeight w:val="527"/>
        </w:trPr>
        <w:tc>
          <w:tcPr>
            <w:tcW w:w="0" w:type="auto"/>
          </w:tcPr>
          <w:p w14:paraId="3007525A" w14:textId="77777777" w:rsidR="00A940F7" w:rsidRDefault="00A940F7" w:rsidP="00A940F7">
            <w:pPr>
              <w:jc w:val="center"/>
              <w:rPr>
                <w:lang w:val="en-US"/>
              </w:rPr>
            </w:pPr>
            <w:r>
              <w:rPr>
                <w:lang w:val="en-US"/>
              </w:rPr>
              <w:t>IHI3</w:t>
            </w:r>
          </w:p>
        </w:tc>
        <w:tc>
          <w:tcPr>
            <w:tcW w:w="0" w:type="auto"/>
          </w:tcPr>
          <w:p w14:paraId="23EF1FF0" w14:textId="77777777" w:rsidR="00A940F7" w:rsidRDefault="00A940F7" w:rsidP="00A940F7">
            <w:pPr>
              <w:jc w:val="center"/>
              <w:rPr>
                <w:lang w:val="en-US"/>
              </w:rPr>
            </w:pPr>
            <w:r>
              <w:rPr>
                <w:lang w:val="en-US"/>
              </w:rPr>
              <w:t>0.9112</w:t>
            </w:r>
          </w:p>
        </w:tc>
        <w:tc>
          <w:tcPr>
            <w:tcW w:w="0" w:type="auto"/>
          </w:tcPr>
          <w:p w14:paraId="27A8FA7A" w14:textId="77777777" w:rsidR="00A940F7" w:rsidRDefault="00A940F7" w:rsidP="00A940F7">
            <w:pPr>
              <w:jc w:val="center"/>
              <w:rPr>
                <w:lang w:val="en-US"/>
              </w:rPr>
            </w:pPr>
            <w:r>
              <w:rPr>
                <w:lang w:val="en-US"/>
              </w:rPr>
              <w:t>0.8257</w:t>
            </w:r>
          </w:p>
        </w:tc>
        <w:tc>
          <w:tcPr>
            <w:tcW w:w="0" w:type="auto"/>
          </w:tcPr>
          <w:p w14:paraId="189DEE51" w14:textId="77777777" w:rsidR="00A940F7" w:rsidRDefault="00A940F7" w:rsidP="00A940F7">
            <w:pPr>
              <w:jc w:val="center"/>
              <w:rPr>
                <w:lang w:val="en-US"/>
              </w:rPr>
            </w:pPr>
            <w:r>
              <w:rPr>
                <w:lang w:val="en-US"/>
              </w:rPr>
              <w:t>0.9511</w:t>
            </w:r>
          </w:p>
        </w:tc>
        <w:tc>
          <w:tcPr>
            <w:tcW w:w="0" w:type="auto"/>
          </w:tcPr>
          <w:p w14:paraId="7DCC64A6" w14:textId="77777777" w:rsidR="00A940F7" w:rsidRDefault="00A940F7" w:rsidP="00A940F7">
            <w:pPr>
              <w:jc w:val="center"/>
              <w:rPr>
                <w:lang w:val="en-US"/>
              </w:rPr>
            </w:pPr>
            <w:r>
              <w:rPr>
                <w:lang w:val="en-US"/>
              </w:rPr>
              <w:t>0.9512</w:t>
            </w:r>
          </w:p>
        </w:tc>
      </w:tr>
    </w:tbl>
    <w:p w14:paraId="00AADD04" w14:textId="77777777" w:rsidR="00B74CB0" w:rsidRDefault="00B74CB0" w:rsidP="00B74CB0">
      <w:pPr>
        <w:rPr>
          <w:lang w:val="en-US"/>
        </w:rPr>
      </w:pPr>
    </w:p>
    <w:p w14:paraId="441C935E" w14:textId="77777777" w:rsidR="007E01A6" w:rsidRDefault="007E01A6" w:rsidP="003D42D9">
      <w:pPr>
        <w:jc w:val="both"/>
        <w:rPr>
          <w:b/>
          <w:bCs/>
          <w:lang w:val="en-US"/>
        </w:rPr>
      </w:pPr>
    </w:p>
    <w:p w14:paraId="22C45EE7" w14:textId="43A1554C" w:rsidR="00957C1A" w:rsidRDefault="007E01A6" w:rsidP="005851BC">
      <w:pPr>
        <w:jc w:val="both"/>
        <w:rPr>
          <w:rFonts w:eastAsia="Times New Roman" w:cs="Times New Roman"/>
        </w:rPr>
      </w:pPr>
      <w:r w:rsidRPr="007E01A6">
        <w:rPr>
          <w:b/>
          <w:bCs/>
          <w:lang w:val="en-US"/>
        </w:rPr>
        <w:t xml:space="preserve"> </w:t>
      </w:r>
      <w:r w:rsidRPr="00CC25FC">
        <w:rPr>
          <w:b/>
          <w:bCs/>
        </w:rPr>
        <w:t>Greys correlation coefficient</w:t>
      </w:r>
      <w:r w:rsidRPr="00CC25FC">
        <w:t xml:space="preserve"> = </w:t>
      </w:r>
      <w:r w:rsidRPr="00CC25FC">
        <w:rPr>
          <w:rFonts w:eastAsia="Times New Roman" w:cs="Times New Roman"/>
        </w:rPr>
        <w:t xml:space="preserve">1 - </w:t>
      </w:r>
      <w:proofErr w:type="gramStart"/>
      <w:r w:rsidRPr="00CC25FC">
        <w:rPr>
          <w:rFonts w:eastAsia="Times New Roman" w:cs="Times New Roman"/>
        </w:rPr>
        <w:t>sum(</w:t>
      </w:r>
      <w:proofErr w:type="gramEnd"/>
      <w:r w:rsidRPr="00CC25FC">
        <w:rPr>
          <w:rFonts w:eastAsia="Times New Roman" w:cs="Times New Roman"/>
        </w:rPr>
        <w:t>abs(</w:t>
      </w:r>
      <w:proofErr w:type="spellStart"/>
      <w:r w:rsidRPr="00CC25FC">
        <w:rPr>
          <w:rFonts w:eastAsia="Times New Roman" w:cs="Times New Roman"/>
        </w:rPr>
        <w:t>normalized_X</w:t>
      </w:r>
      <w:proofErr w:type="spellEnd"/>
      <w:r w:rsidRPr="00CC25FC">
        <w:rPr>
          <w:rFonts w:eastAsia="Times New Roman" w:cs="Times New Roman"/>
        </w:rPr>
        <w:t xml:space="preserve"> - </w:t>
      </w:r>
      <w:proofErr w:type="spellStart"/>
      <w:r w:rsidRPr="00CC25FC">
        <w:rPr>
          <w:rFonts w:eastAsia="Times New Roman" w:cs="Times New Roman"/>
        </w:rPr>
        <w:t>normalized_Y</w:t>
      </w:r>
      <w:proofErr w:type="spellEnd"/>
      <w:r w:rsidRPr="00CC25FC">
        <w:rPr>
          <w:rFonts w:eastAsia="Times New Roman" w:cs="Times New Roman"/>
        </w:rPr>
        <w:t>)) /          sum(abs(</w:t>
      </w:r>
      <w:proofErr w:type="spellStart"/>
      <w:r w:rsidRPr="00CC25FC">
        <w:rPr>
          <w:rFonts w:eastAsia="Times New Roman" w:cs="Times New Roman"/>
        </w:rPr>
        <w:t>normalized_X</w:t>
      </w:r>
      <w:proofErr w:type="spellEnd"/>
      <w:r w:rsidRPr="00CC25FC">
        <w:rPr>
          <w:rFonts w:eastAsia="Times New Roman" w:cs="Times New Roman"/>
        </w:rPr>
        <w:t xml:space="preserve"> + </w:t>
      </w:r>
      <w:proofErr w:type="spellStart"/>
      <w:r w:rsidRPr="00CC25FC">
        <w:rPr>
          <w:rFonts w:eastAsia="Times New Roman" w:cs="Times New Roman"/>
        </w:rPr>
        <w:t>normalized_Y</w:t>
      </w:r>
      <w:proofErr w:type="spellEnd"/>
      <w:r w:rsidRPr="00CC25FC">
        <w:rPr>
          <w:rFonts w:eastAsia="Times New Roman" w:cs="Times New Roman"/>
        </w:rPr>
        <w:t>)) …………………………….(1)</w:t>
      </w:r>
    </w:p>
    <w:p w14:paraId="1F522A4A" w14:textId="77777777" w:rsidR="005851BC" w:rsidRPr="005851BC" w:rsidRDefault="005851BC" w:rsidP="005851BC">
      <w:pPr>
        <w:jc w:val="both"/>
      </w:pPr>
    </w:p>
    <w:p w14:paraId="458C425A" w14:textId="501185C9" w:rsidR="00957C1A" w:rsidRDefault="00957C1A" w:rsidP="00910B7D">
      <w:pPr>
        <w:pStyle w:val="Heading2"/>
      </w:pPr>
      <w:bookmarkStart w:id="15" w:name="_Toc152946069"/>
      <w:r>
        <w:t>2.2. Gaussian Process Regression</w:t>
      </w:r>
      <w:bookmarkEnd w:id="15"/>
    </w:p>
    <w:p w14:paraId="6FC361BE" w14:textId="77777777" w:rsidR="00957C1A" w:rsidRDefault="00957C1A" w:rsidP="00957C1A">
      <w:pPr>
        <w:rPr>
          <w:lang w:val="en-US"/>
        </w:rPr>
      </w:pPr>
    </w:p>
    <w:p w14:paraId="7BC8075A" w14:textId="7215AF15" w:rsidR="00957C1A" w:rsidRDefault="00957C1A" w:rsidP="00957C1A">
      <w:pPr>
        <w:jc w:val="both"/>
      </w:pPr>
      <w:r w:rsidRPr="00957C1A">
        <w:t>Gaussian Process Regression (GPR) is a powerful machine learning technique used for regression tasks, particularly in situations where the underlying relationships in the data are complex and not easily characterized by traditional parametric models. Here's a brief description of Gaussian Process Regression</w:t>
      </w:r>
      <w:r>
        <w:t xml:space="preserve"> </w:t>
      </w:r>
      <w:r w:rsidRPr="00957C1A">
        <w:t xml:space="preserve">Probabilistic </w:t>
      </w:r>
      <w:proofErr w:type="gramStart"/>
      <w:r w:rsidRPr="00957C1A">
        <w:t>Model  GPR</w:t>
      </w:r>
      <w:proofErr w:type="gramEnd"/>
      <w:r w:rsidRPr="00957C1A">
        <w:t xml:space="preserve"> is based on a probabilistic model that defines a distribution over functions. Instead of estimating a specific function, GPR provides a distribution over possible functions that could describe the data.</w:t>
      </w:r>
      <w:r>
        <w:t xml:space="preserve"> </w:t>
      </w:r>
      <w:r w:rsidRPr="00957C1A">
        <w:t>Training GPR requires a set of input-output pairs for training. The model learns from these pairs to make predictions on new, unseen data.</w:t>
      </w:r>
      <w:r>
        <w:t xml:space="preserve"> </w:t>
      </w:r>
      <w:r w:rsidRPr="00957C1A">
        <w:t>Predictive</w:t>
      </w:r>
      <w:r>
        <w:t xml:space="preserve"> </w:t>
      </w:r>
      <w:r w:rsidRPr="00957C1A">
        <w:t xml:space="preserve">GPR provides a predictive distribution for each input point in the test set. This distribution includes the mean prediction and the uncertainty associated with </w:t>
      </w:r>
      <w:r w:rsidRPr="00957C1A">
        <w:lastRenderedPageBreak/>
        <w:t>prediction.</w:t>
      </w:r>
      <w:r w:rsidR="00DA2638">
        <w:rPr>
          <w:noProof/>
          <w:lang w:eastAsia="en-IN"/>
        </w:rPr>
        <w:drawing>
          <wp:inline distT="0" distB="0" distL="0" distR="0" wp14:anchorId="1904D72C" wp14:editId="0022C568">
            <wp:extent cx="5673736" cy="3830632"/>
            <wp:effectExtent l="0" t="0" r="3175" b="0"/>
            <wp:docPr id="814924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24696" name="Picture 814924696"/>
                    <pic:cNvPicPr/>
                  </pic:nvPicPr>
                  <pic:blipFill>
                    <a:blip r:embed="rId16">
                      <a:extLst>
                        <a:ext uri="{28A0092B-C50C-407E-A947-70E740481C1C}">
                          <a14:useLocalDpi xmlns:a14="http://schemas.microsoft.com/office/drawing/2010/main" val="0"/>
                        </a:ext>
                      </a:extLst>
                    </a:blip>
                    <a:stretch>
                      <a:fillRect/>
                    </a:stretch>
                  </pic:blipFill>
                  <pic:spPr>
                    <a:xfrm>
                      <a:off x="0" y="0"/>
                      <a:ext cx="5715629" cy="3858916"/>
                    </a:xfrm>
                    <a:prstGeom prst="rect">
                      <a:avLst/>
                    </a:prstGeom>
                  </pic:spPr>
                </pic:pic>
              </a:graphicData>
            </a:graphic>
          </wp:inline>
        </w:drawing>
      </w:r>
    </w:p>
    <w:p w14:paraId="00EF8290" w14:textId="12347777" w:rsidR="00DA2638" w:rsidRPr="005B2C4A" w:rsidRDefault="005B2C4A" w:rsidP="006427F0">
      <w:pPr>
        <w:pStyle w:val="NoSpacing"/>
        <w:rPr>
          <w:bCs/>
        </w:rPr>
      </w:pPr>
      <w:r>
        <w:t xml:space="preserve">           </w:t>
      </w:r>
      <w:r w:rsidR="00562FFC" w:rsidRPr="006427F0">
        <w:rPr>
          <w:b/>
          <w:bCs/>
        </w:rPr>
        <w:t>Figure</w:t>
      </w:r>
      <w:r w:rsidR="005E46A9" w:rsidRPr="006427F0">
        <w:rPr>
          <w:b/>
          <w:bCs/>
        </w:rPr>
        <w:t xml:space="preserve"> 4</w:t>
      </w:r>
      <w:r w:rsidR="00562FFC" w:rsidRPr="006427F0">
        <w:rPr>
          <w:b/>
          <w:bCs/>
        </w:rPr>
        <w:t>.</w:t>
      </w:r>
      <w:r w:rsidRPr="005B2C4A">
        <w:t xml:space="preserve"> Schematic diagram of the proposed GPR method for prediction</w:t>
      </w:r>
    </w:p>
    <w:p w14:paraId="1949FE68" w14:textId="77777777" w:rsidR="00DA2638" w:rsidRDefault="00DA2638" w:rsidP="006427F0">
      <w:pPr>
        <w:pStyle w:val="NoSpacing"/>
      </w:pPr>
    </w:p>
    <w:p w14:paraId="7E15C908" w14:textId="304885B6" w:rsidR="00DA2638" w:rsidRPr="003D42D9" w:rsidRDefault="00DA2638" w:rsidP="003D42D9">
      <w:pPr>
        <w:pStyle w:val="Heading2"/>
      </w:pPr>
      <w:bookmarkStart w:id="16" w:name="_Toc152946070"/>
      <w:proofErr w:type="gramStart"/>
      <w:r w:rsidRPr="003D42D9">
        <w:t>2.3  Experimental</w:t>
      </w:r>
      <w:proofErr w:type="gramEnd"/>
      <w:r w:rsidRPr="003D42D9">
        <w:t xml:space="preserve"> Analysis</w:t>
      </w:r>
      <w:bookmarkEnd w:id="16"/>
    </w:p>
    <w:p w14:paraId="6086EF54" w14:textId="7F43831E" w:rsidR="00C02FBE" w:rsidRDefault="00C02FBE" w:rsidP="00C02FBE">
      <w:pPr>
        <w:rPr>
          <w:lang w:val="en-US"/>
        </w:rPr>
      </w:pPr>
    </w:p>
    <w:p w14:paraId="79039E68" w14:textId="34C06BC3" w:rsidR="00233A03" w:rsidRPr="00361E06" w:rsidRDefault="00233A03" w:rsidP="00233A03">
      <w:pPr>
        <w:jc w:val="both"/>
      </w:pPr>
      <w:r w:rsidRPr="00361E06">
        <w:t>The investigation into the State of Health (</w:t>
      </w:r>
      <w:proofErr w:type="spellStart"/>
      <w:r w:rsidRPr="00361E06">
        <w:t>SoH</w:t>
      </w:r>
      <w:proofErr w:type="spellEnd"/>
      <w:r w:rsidRPr="00361E06">
        <w:t xml:space="preserve">) of lithium-ion batteries through Indirect Health Indicators (IHIs) and Gaussian Process Regression (GPR) has yielded valuable insights into the complex dynamics of battery </w:t>
      </w:r>
      <w:proofErr w:type="spellStart"/>
      <w:r w:rsidRPr="00361E06">
        <w:t>behavior</w:t>
      </w:r>
      <w:proofErr w:type="spellEnd"/>
      <w:r w:rsidRPr="00361E06">
        <w:t>. This discussion section delves into key findings, methodological considerations, and the broader implications of the research.</w:t>
      </w:r>
      <w:r>
        <w:t xml:space="preserve"> </w:t>
      </w:r>
      <w:r w:rsidRPr="00361E06">
        <w:t>The correlation analysis revealed that among the selected IHIs, IHI1, representing the time needed to reach the lowest discharge point, exhibited a robust correlation with capacity loss across diverse datasets. This underscores the importance of discharge efficiency as a critical factor influencing battery health. The strong correlation emphasizes that monitoring the time to the lowest discharge point could serve as an effective indirect indicator for predicting capacity loss.</w:t>
      </w:r>
      <w:r>
        <w:t xml:space="preserve"> </w:t>
      </w:r>
      <w:r w:rsidRPr="00361E06">
        <w:t>The GPR model, trained using normalized IHI1 values as predictors and capacity loss as the response variable, demonstrated promising performance. Evaluation metrics such as Mean Squared Error and R-squared indicated a high degree of accuracy in predicting capacity loss within the training dataset. Furthermore, the model showcased commendable generalization capabilities when applied to other battery datasets, capturing nuanced variations in operating conditions and usage scenarios. This suggests that the relationships learned during training are applicable across diverse contexts, reinforcing the model's reliability.</w:t>
      </w:r>
      <w:r>
        <w:t xml:space="preserve"> </w:t>
      </w:r>
      <w:r w:rsidRPr="00361E06">
        <w:t xml:space="preserve">The identified correlations and the </w:t>
      </w:r>
      <w:r w:rsidRPr="00361E06">
        <w:lastRenderedPageBreak/>
        <w:t>successful application of the GPR model hold practical implications for battery management strategies. Incorporating IHI1 into monitoring protocols could provide an efficient means of assessing battery health over time. Additionally, the GPR model's ability to generalize across datasets signifies its potential utility in real-world applications, where batteries may experience varying environmental conditions and usage patterns.</w:t>
      </w:r>
      <w:r>
        <w:t xml:space="preserve"> </w:t>
      </w:r>
      <w:r w:rsidRPr="00361E06">
        <w:t xml:space="preserve">While the study provides valuable insights, it is essential to acknowledge certain limitations. The analysis focused on three specific IHIs, and future research could explore additional indicators for a more comprehensive understanding. Furthermore, the study primarily employed GPR for </w:t>
      </w:r>
      <w:proofErr w:type="spellStart"/>
      <w:r w:rsidRPr="00361E06">
        <w:t>modeling</w:t>
      </w:r>
      <w:proofErr w:type="spellEnd"/>
      <w:r w:rsidRPr="00361E06">
        <w:t>; alternative machine learning approaches could be explored for comparative purposes.</w:t>
      </w:r>
      <w:r>
        <w:t xml:space="preserve"> </w:t>
      </w:r>
      <w:r w:rsidRPr="00361E06">
        <w:t>This research contributes to the broader landscape of battery technology by emphasizing the role of IHIs and machine learning in predicting battery health. The findings offer a foundation for the development of enhanced battery management systems that leverage real-time monitoring of discharge efficiency. Such advancements are crucial in optimizing the performance and lifespan of lithium-ion batteries in diverse applications, from portable electronics to electric vehicles and renewable energy storage.</w:t>
      </w:r>
    </w:p>
    <w:p w14:paraId="17C9AAA5" w14:textId="221082BA" w:rsidR="00DA2638" w:rsidRDefault="00DA2638" w:rsidP="00233A03">
      <w:r>
        <w:t>2.3.1 SOH Prediction</w:t>
      </w:r>
    </w:p>
    <w:p w14:paraId="0AFE9B30" w14:textId="77777777" w:rsidR="00DA2638" w:rsidRDefault="00DA2638" w:rsidP="00DA2638">
      <w:pPr>
        <w:rPr>
          <w:lang w:val="en-US"/>
        </w:rPr>
      </w:pPr>
    </w:p>
    <w:p w14:paraId="39B435E1" w14:textId="27DDFA26" w:rsidR="00957C1A" w:rsidRDefault="00D61A23" w:rsidP="007851E1">
      <w:pPr>
        <w:pStyle w:val="ListParagraph"/>
        <w:numPr>
          <w:ilvl w:val="0"/>
          <w:numId w:val="4"/>
        </w:numPr>
        <w:rPr>
          <w:lang w:val="en-US"/>
        </w:rPr>
      </w:pPr>
      <w:r>
        <w:rPr>
          <w:lang w:val="en-US"/>
        </w:rPr>
        <w:t>We took the first 50% of a battery</w:t>
      </w:r>
      <w:r w:rsidR="00BD0D99">
        <w:rPr>
          <w:lang w:val="en-US"/>
        </w:rPr>
        <w:t xml:space="preserve"> </w:t>
      </w:r>
      <w:r>
        <w:rPr>
          <w:lang w:val="en-US"/>
        </w:rPr>
        <w:t xml:space="preserve">set as </w:t>
      </w:r>
      <w:r w:rsidR="00BD0D99">
        <w:rPr>
          <w:lang w:val="en-US"/>
        </w:rPr>
        <w:t xml:space="preserve">an input and gave it as </w:t>
      </w:r>
      <w:r w:rsidR="005E46A9">
        <w:rPr>
          <w:lang w:val="en-US"/>
        </w:rPr>
        <w:t xml:space="preserve">a </w:t>
      </w:r>
      <w:r w:rsidR="00BD0D99">
        <w:rPr>
          <w:lang w:val="en-US"/>
        </w:rPr>
        <w:t>predicator for</w:t>
      </w:r>
      <w:r w:rsidR="005E46A9">
        <w:rPr>
          <w:lang w:val="en-US"/>
        </w:rPr>
        <w:t xml:space="preserve"> </w:t>
      </w:r>
      <w:r w:rsidR="00BD0D99">
        <w:rPr>
          <w:lang w:val="en-US"/>
        </w:rPr>
        <w:t xml:space="preserve">our GPR model and then This model predicts </w:t>
      </w:r>
      <w:r w:rsidR="005E46A9">
        <w:rPr>
          <w:lang w:val="en-US"/>
        </w:rPr>
        <w:t xml:space="preserve">the </w:t>
      </w:r>
      <w:r w:rsidR="00BD0D99">
        <w:rPr>
          <w:lang w:val="en-US"/>
        </w:rPr>
        <w:t>rest of the 50% capacity values in Figure 5 and Figure 6, we can see the predicted and actual values of B0005 and B0006 respectively.</w:t>
      </w:r>
    </w:p>
    <w:p w14:paraId="3BE85C93" w14:textId="77777777" w:rsidR="00BD0D99" w:rsidRPr="00420F5E" w:rsidRDefault="00BD0D99" w:rsidP="00BD0D99">
      <w:pPr>
        <w:pStyle w:val="ListParagraph"/>
        <w:rPr>
          <w:lang w:val="en-US"/>
        </w:rPr>
      </w:pPr>
    </w:p>
    <w:p w14:paraId="13A55203" w14:textId="1A9673AB" w:rsidR="00DA2638" w:rsidRPr="007B1909" w:rsidRDefault="00C6795F" w:rsidP="007B1909">
      <w:pPr>
        <w:rPr>
          <w:lang w:val="en-US"/>
        </w:rPr>
      </w:pPr>
      <w:r>
        <w:rPr>
          <w:noProof/>
          <w:lang w:eastAsia="en-IN"/>
        </w:rPr>
        <w:drawing>
          <wp:inline distT="0" distB="0" distL="0" distR="0" wp14:anchorId="766AA8B9" wp14:editId="740BCC1E">
            <wp:extent cx="2809122" cy="2106686"/>
            <wp:effectExtent l="0" t="0" r="0" b="8255"/>
            <wp:docPr id="4728006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0683" name="Picture 4728006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1601" cy="2116045"/>
                    </a:xfrm>
                    <a:prstGeom prst="rect">
                      <a:avLst/>
                    </a:prstGeom>
                  </pic:spPr>
                </pic:pic>
              </a:graphicData>
            </a:graphic>
          </wp:inline>
        </w:drawing>
      </w:r>
      <w:r>
        <w:rPr>
          <w:noProof/>
          <w:lang w:eastAsia="en-IN"/>
        </w:rPr>
        <w:drawing>
          <wp:inline distT="0" distB="0" distL="0" distR="0" wp14:anchorId="54CF4B44" wp14:editId="5F98629B">
            <wp:extent cx="2769919" cy="2077286"/>
            <wp:effectExtent l="0" t="0" r="0" b="0"/>
            <wp:docPr id="646512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295" name="Picture 6465129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5827" cy="2089216"/>
                    </a:xfrm>
                    <a:prstGeom prst="rect">
                      <a:avLst/>
                    </a:prstGeom>
                  </pic:spPr>
                </pic:pic>
              </a:graphicData>
            </a:graphic>
          </wp:inline>
        </w:drawing>
      </w:r>
      <w:r w:rsidR="00830E61">
        <w:rPr>
          <w:b/>
          <w:bCs/>
          <w:lang w:val="en-US"/>
        </w:rPr>
        <w:t xml:space="preserve">       </w:t>
      </w:r>
      <w:r w:rsidR="00233A03">
        <w:rPr>
          <w:b/>
          <w:bCs/>
          <w:lang w:val="en-US"/>
        </w:rPr>
        <w:t xml:space="preserve">Figure 5. </w:t>
      </w:r>
      <w:r w:rsidR="00233A03" w:rsidRPr="007B1909">
        <w:rPr>
          <w:bCs/>
          <w:lang w:val="en-US"/>
        </w:rPr>
        <w:t xml:space="preserve">SP </w:t>
      </w:r>
      <w:proofErr w:type="gramStart"/>
      <w:r w:rsidR="00233A03" w:rsidRPr="007B1909">
        <w:rPr>
          <w:bCs/>
          <w:lang w:val="en-US"/>
        </w:rPr>
        <w:t xml:space="preserve">at </w:t>
      </w:r>
      <w:r w:rsidR="007B1909">
        <w:rPr>
          <w:bCs/>
          <w:lang w:val="en-US"/>
        </w:rPr>
        <w:t xml:space="preserve"> </w:t>
      </w:r>
      <w:r w:rsidR="006427F0" w:rsidRPr="007B1909">
        <w:rPr>
          <w:bCs/>
          <w:lang w:val="en-US"/>
        </w:rPr>
        <w:t>SOH</w:t>
      </w:r>
      <w:proofErr w:type="gramEnd"/>
      <w:r w:rsidR="006427F0" w:rsidRPr="007B1909">
        <w:rPr>
          <w:bCs/>
          <w:lang w:val="en-US"/>
        </w:rPr>
        <w:t xml:space="preserve"> prediction</w:t>
      </w:r>
      <w:r w:rsidR="00B338FC" w:rsidRPr="007B1909">
        <w:rPr>
          <w:bCs/>
          <w:lang w:val="en-US"/>
        </w:rPr>
        <w:t xml:space="preserve"> result of battery </w:t>
      </w:r>
      <w:r w:rsidR="007B1909" w:rsidRPr="007B1909">
        <w:rPr>
          <w:lang w:val="en-US"/>
        </w:rPr>
        <w:t xml:space="preserve">: </w:t>
      </w:r>
      <w:r w:rsidR="007B1909" w:rsidRPr="007B1909">
        <w:rPr>
          <w:bCs/>
          <w:lang w:val="en-US"/>
        </w:rPr>
        <w:t>No. 5</w:t>
      </w:r>
      <w:r w:rsidR="005851BC">
        <w:rPr>
          <w:bCs/>
          <w:lang w:val="en-US"/>
        </w:rPr>
        <w:t xml:space="preserve"> </w:t>
      </w:r>
      <w:r w:rsidR="007B1909" w:rsidRPr="007B1909">
        <w:rPr>
          <w:bCs/>
          <w:lang w:val="en-US"/>
        </w:rPr>
        <w:t xml:space="preserve"> </w:t>
      </w:r>
      <w:r w:rsidR="00B338FC" w:rsidRPr="007B1909">
        <w:rPr>
          <w:bCs/>
          <w:lang w:val="en-US"/>
        </w:rPr>
        <w:t>SP =  50</w:t>
      </w:r>
      <w:r w:rsidR="006427F0" w:rsidRPr="007B1909">
        <w:rPr>
          <w:bCs/>
          <w:lang w:val="en-US"/>
        </w:rPr>
        <w:t xml:space="preserve"> </w:t>
      </w:r>
      <w:r w:rsidR="007B1909" w:rsidRPr="007B1909">
        <w:rPr>
          <w:bCs/>
          <w:lang w:val="en-US"/>
        </w:rPr>
        <w:t xml:space="preserve">; </w:t>
      </w:r>
      <w:r w:rsidR="00B338FC" w:rsidRPr="007B1909">
        <w:rPr>
          <w:bCs/>
          <w:lang w:val="en-US"/>
        </w:rPr>
        <w:t xml:space="preserve"> </w:t>
      </w:r>
      <w:r w:rsidR="007B1909" w:rsidRPr="007B1909">
        <w:rPr>
          <w:bCs/>
          <w:lang w:val="en-US"/>
        </w:rPr>
        <w:t>No.6</w:t>
      </w:r>
      <w:r w:rsidR="005851BC">
        <w:rPr>
          <w:bCs/>
          <w:lang w:val="en-US"/>
        </w:rPr>
        <w:t xml:space="preserve"> </w:t>
      </w:r>
      <w:r w:rsidR="007B1909" w:rsidRPr="007B1909">
        <w:rPr>
          <w:bCs/>
          <w:lang w:val="en-US"/>
        </w:rPr>
        <w:t xml:space="preserve"> </w:t>
      </w:r>
      <w:r w:rsidR="00B338FC" w:rsidRPr="007B1909">
        <w:rPr>
          <w:bCs/>
          <w:lang w:val="en-US"/>
        </w:rPr>
        <w:t>SP = 50</w:t>
      </w:r>
    </w:p>
    <w:p w14:paraId="1C2B9C47" w14:textId="22010C6C" w:rsidR="00B338FC" w:rsidRDefault="00B338FC" w:rsidP="00B338FC">
      <w:pPr>
        <w:jc w:val="center"/>
        <w:rPr>
          <w:lang w:val="en-US"/>
        </w:rPr>
      </w:pPr>
    </w:p>
    <w:p w14:paraId="1D4651F8" w14:textId="77777777" w:rsidR="00B338FC" w:rsidRPr="00B338FC" w:rsidRDefault="00B338FC" w:rsidP="00B338FC">
      <w:pPr>
        <w:jc w:val="center"/>
        <w:rPr>
          <w:lang w:val="en-US"/>
        </w:rPr>
      </w:pPr>
    </w:p>
    <w:p w14:paraId="5E758A55" w14:textId="408AB0F5" w:rsidR="00BD0D99" w:rsidRPr="00420F5E" w:rsidRDefault="00BD0D99" w:rsidP="007851E1">
      <w:pPr>
        <w:pStyle w:val="ListParagraph"/>
        <w:numPr>
          <w:ilvl w:val="0"/>
          <w:numId w:val="4"/>
        </w:numPr>
        <w:rPr>
          <w:lang w:val="en-US"/>
        </w:rPr>
      </w:pPr>
      <w:r>
        <w:rPr>
          <w:lang w:val="en-US"/>
        </w:rPr>
        <w:t xml:space="preserve">We took the first 75% of a battery set as an input and gave it as predicator </w:t>
      </w:r>
      <w:proofErr w:type="gramStart"/>
      <w:r>
        <w:rPr>
          <w:lang w:val="en-US"/>
        </w:rPr>
        <w:t>for  our</w:t>
      </w:r>
      <w:proofErr w:type="gramEnd"/>
      <w:r>
        <w:rPr>
          <w:lang w:val="en-US"/>
        </w:rPr>
        <w:t xml:space="preserve"> GPR model and then This model predicts rest of the 25% capacity values </w:t>
      </w:r>
      <w:r>
        <w:rPr>
          <w:lang w:val="en-US"/>
        </w:rPr>
        <w:lastRenderedPageBreak/>
        <w:t>in Figure 7 and Figure 8, we can see the predicted and actual values of B0005 and B0006 respectively.</w:t>
      </w:r>
    </w:p>
    <w:p w14:paraId="31C7188E" w14:textId="45A30E2C" w:rsidR="00C6795F" w:rsidRPr="007B1909" w:rsidRDefault="000D6D94" w:rsidP="00BD0D99">
      <w:pPr>
        <w:ind w:left="360"/>
        <w:rPr>
          <w:b/>
          <w:lang w:val="en-US"/>
        </w:rPr>
      </w:pPr>
      <w:r w:rsidRPr="007B1909">
        <w:rPr>
          <w:b/>
          <w:noProof/>
          <w:lang w:eastAsia="en-IN"/>
        </w:rPr>
        <w:drawing>
          <wp:inline distT="0" distB="0" distL="0" distR="0" wp14:anchorId="7255B413" wp14:editId="72EF40DD">
            <wp:extent cx="2667950" cy="2000815"/>
            <wp:effectExtent l="0" t="0" r="0" b="0"/>
            <wp:docPr id="20092140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14089" name="Picture 200921408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88237" cy="2016029"/>
                    </a:xfrm>
                    <a:prstGeom prst="rect">
                      <a:avLst/>
                    </a:prstGeom>
                  </pic:spPr>
                </pic:pic>
              </a:graphicData>
            </a:graphic>
          </wp:inline>
        </w:drawing>
      </w:r>
      <w:r w:rsidR="001E20EE" w:rsidRPr="007B1909">
        <w:rPr>
          <w:b/>
        </w:rPr>
        <w:t xml:space="preserve"> </w:t>
      </w:r>
      <w:r w:rsidR="001E20EE" w:rsidRPr="007B1909">
        <w:rPr>
          <w:b/>
          <w:noProof/>
          <w:lang w:eastAsia="en-IN"/>
        </w:rPr>
        <w:drawing>
          <wp:inline distT="0" distB="0" distL="0" distR="0" wp14:anchorId="7D783881" wp14:editId="67A2FDCB">
            <wp:extent cx="2657214" cy="2006600"/>
            <wp:effectExtent l="0" t="0" r="0" b="0"/>
            <wp:docPr id="127868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4338" cy="2011980"/>
                    </a:xfrm>
                    <a:prstGeom prst="rect">
                      <a:avLst/>
                    </a:prstGeom>
                    <a:noFill/>
                    <a:ln>
                      <a:noFill/>
                    </a:ln>
                  </pic:spPr>
                </pic:pic>
              </a:graphicData>
            </a:graphic>
          </wp:inline>
        </w:drawing>
      </w:r>
    </w:p>
    <w:p w14:paraId="53286B93" w14:textId="49FFCDBD" w:rsidR="00C02FBE" w:rsidRPr="007B1909" w:rsidRDefault="007B1909" w:rsidP="002A6990">
      <w:pPr>
        <w:rPr>
          <w:lang w:val="en-US"/>
        </w:rPr>
      </w:pPr>
      <w:r>
        <w:rPr>
          <w:b/>
          <w:bCs/>
          <w:lang w:val="en-US"/>
        </w:rPr>
        <w:t xml:space="preserve">       Figure 6</w:t>
      </w:r>
      <w:r w:rsidRPr="007B1909">
        <w:rPr>
          <w:b/>
          <w:bCs/>
          <w:lang w:val="en-US"/>
        </w:rPr>
        <w:t>.</w:t>
      </w:r>
      <w:r w:rsidRPr="007B1909">
        <w:rPr>
          <w:bCs/>
          <w:lang w:val="en-US"/>
        </w:rPr>
        <w:t xml:space="preserve"> SP </w:t>
      </w:r>
      <w:proofErr w:type="gramStart"/>
      <w:r w:rsidRPr="007B1909">
        <w:rPr>
          <w:bCs/>
          <w:lang w:val="en-US"/>
        </w:rPr>
        <w:t>at</w:t>
      </w:r>
      <w:r>
        <w:rPr>
          <w:bCs/>
          <w:lang w:val="en-US"/>
        </w:rPr>
        <w:t xml:space="preserve"> </w:t>
      </w:r>
      <w:r w:rsidRPr="007B1909">
        <w:rPr>
          <w:bCs/>
          <w:lang w:val="en-US"/>
        </w:rPr>
        <w:t xml:space="preserve"> SOH</w:t>
      </w:r>
      <w:proofErr w:type="gramEnd"/>
      <w:r w:rsidRPr="007B1909">
        <w:rPr>
          <w:bCs/>
          <w:lang w:val="en-US"/>
        </w:rPr>
        <w:t xml:space="preserve"> prediction result of battery </w:t>
      </w:r>
      <w:r w:rsidRPr="007B1909">
        <w:rPr>
          <w:lang w:val="en-US"/>
        </w:rPr>
        <w:t xml:space="preserve">: </w:t>
      </w:r>
      <w:r w:rsidRPr="007B1909">
        <w:rPr>
          <w:bCs/>
          <w:lang w:val="en-US"/>
        </w:rPr>
        <w:t xml:space="preserve">No. 5 </w:t>
      </w:r>
      <w:r w:rsidR="005851BC">
        <w:rPr>
          <w:bCs/>
          <w:lang w:val="en-US"/>
        </w:rPr>
        <w:t xml:space="preserve"> </w:t>
      </w:r>
      <w:r w:rsidRPr="007B1909">
        <w:rPr>
          <w:bCs/>
          <w:lang w:val="en-US"/>
        </w:rPr>
        <w:t xml:space="preserve">SP =  </w:t>
      </w:r>
      <w:r>
        <w:rPr>
          <w:bCs/>
          <w:lang w:val="en-US"/>
        </w:rPr>
        <w:t>75</w:t>
      </w:r>
      <w:r w:rsidRPr="007B1909">
        <w:rPr>
          <w:bCs/>
          <w:lang w:val="en-US"/>
        </w:rPr>
        <w:t xml:space="preserve"> ;  No.6</w:t>
      </w:r>
      <w:r w:rsidR="005851BC">
        <w:rPr>
          <w:bCs/>
          <w:lang w:val="en-US"/>
        </w:rPr>
        <w:t xml:space="preserve"> </w:t>
      </w:r>
      <w:r w:rsidRPr="007B1909">
        <w:rPr>
          <w:bCs/>
          <w:lang w:val="en-US"/>
        </w:rPr>
        <w:t xml:space="preserve"> </w:t>
      </w:r>
      <w:r>
        <w:rPr>
          <w:bCs/>
          <w:lang w:val="en-US"/>
        </w:rPr>
        <w:t>SP = 75</w:t>
      </w:r>
    </w:p>
    <w:p w14:paraId="228A454D" w14:textId="35D4AF41" w:rsidR="00BD0D99" w:rsidRPr="00F31AA2" w:rsidRDefault="00BD0D99" w:rsidP="007851E1">
      <w:pPr>
        <w:pStyle w:val="ListParagraph"/>
        <w:numPr>
          <w:ilvl w:val="0"/>
          <w:numId w:val="4"/>
        </w:numPr>
        <w:rPr>
          <w:lang w:val="en-US"/>
        </w:rPr>
      </w:pPr>
      <w:r w:rsidRPr="00F31AA2">
        <w:rPr>
          <w:lang w:val="en-US"/>
        </w:rPr>
        <w:t xml:space="preserve">We took the </w:t>
      </w:r>
      <w:proofErr w:type="gramStart"/>
      <w:r w:rsidRPr="00F31AA2">
        <w:rPr>
          <w:lang w:val="en-US"/>
        </w:rPr>
        <w:t>first  data</w:t>
      </w:r>
      <w:proofErr w:type="gramEnd"/>
      <w:r w:rsidRPr="00F31AA2">
        <w:rPr>
          <w:lang w:val="en-US"/>
        </w:rPr>
        <w:t xml:space="preserve"> of a battery set as an input and gave it as predicator for  our GPR model and then This model predicts other battery capacity values in Figure 9 , we can see the predicted and actual values of B0005 and B0006 respectively.</w:t>
      </w:r>
    </w:p>
    <w:p w14:paraId="729FF75B" w14:textId="77777777" w:rsidR="006C6811" w:rsidRDefault="006C6811" w:rsidP="00C02FBE">
      <w:pPr>
        <w:pStyle w:val="ListParagraph"/>
        <w:rPr>
          <w:lang w:val="en-US"/>
        </w:rPr>
      </w:pPr>
    </w:p>
    <w:p w14:paraId="7565162E" w14:textId="3D554DA2" w:rsidR="00C02FBE" w:rsidRDefault="00420F5E" w:rsidP="00C02FBE">
      <w:pPr>
        <w:pStyle w:val="ListParagraph"/>
        <w:rPr>
          <w:lang w:val="en-US"/>
        </w:rPr>
      </w:pPr>
      <w:r>
        <w:rPr>
          <w:noProof/>
          <w:lang w:eastAsia="en-IN"/>
        </w:rPr>
        <w:drawing>
          <wp:inline distT="0" distB="0" distL="0" distR="0" wp14:anchorId="0C900923" wp14:editId="2C7AF4DE">
            <wp:extent cx="5524906" cy="4143375"/>
            <wp:effectExtent l="0" t="0" r="0" b="0"/>
            <wp:docPr id="16552713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71362" name="Picture 1655271362"/>
                    <pic:cNvPicPr/>
                  </pic:nvPicPr>
                  <pic:blipFill>
                    <a:blip r:embed="rId21">
                      <a:extLst>
                        <a:ext uri="{28A0092B-C50C-407E-A947-70E740481C1C}">
                          <a14:useLocalDpi xmlns:a14="http://schemas.microsoft.com/office/drawing/2010/main" val="0"/>
                        </a:ext>
                      </a:extLst>
                    </a:blip>
                    <a:stretch>
                      <a:fillRect/>
                    </a:stretch>
                  </pic:blipFill>
                  <pic:spPr>
                    <a:xfrm>
                      <a:off x="0" y="0"/>
                      <a:ext cx="5581396" cy="4185740"/>
                    </a:xfrm>
                    <a:prstGeom prst="rect">
                      <a:avLst/>
                    </a:prstGeom>
                  </pic:spPr>
                </pic:pic>
              </a:graphicData>
            </a:graphic>
          </wp:inline>
        </w:drawing>
      </w:r>
      <w:r w:rsidR="00B74CB0" w:rsidRPr="00C02FBE">
        <w:rPr>
          <w:lang w:val="en-US"/>
        </w:rPr>
        <w:t xml:space="preserve"> </w:t>
      </w:r>
    </w:p>
    <w:p w14:paraId="77FE1DC0" w14:textId="1B025619" w:rsidR="001E20EE" w:rsidRPr="007B1909" w:rsidRDefault="007B1909" w:rsidP="007B1909">
      <w:pPr>
        <w:rPr>
          <w:lang w:val="en-US"/>
        </w:rPr>
      </w:pPr>
      <w:r>
        <w:rPr>
          <w:lang w:val="en-US"/>
        </w:rPr>
        <w:t xml:space="preserve">                            </w:t>
      </w:r>
      <w:r w:rsidR="00BD0D99" w:rsidRPr="007B1909">
        <w:rPr>
          <w:lang w:val="en-US"/>
        </w:rPr>
        <w:t xml:space="preserve"> </w:t>
      </w:r>
      <w:r w:rsidRPr="007B1909">
        <w:rPr>
          <w:b/>
          <w:bCs/>
          <w:lang w:val="en-US"/>
        </w:rPr>
        <w:t xml:space="preserve">Figure 5. </w:t>
      </w:r>
      <w:r w:rsidRPr="007B1909">
        <w:rPr>
          <w:bCs/>
          <w:lang w:val="en-US"/>
        </w:rPr>
        <w:t xml:space="preserve">SP at SOH prediction result of </w:t>
      </w:r>
      <w:proofErr w:type="gramStart"/>
      <w:r w:rsidRPr="007B1909">
        <w:rPr>
          <w:bCs/>
          <w:lang w:val="en-US"/>
        </w:rPr>
        <w:t xml:space="preserve">battery </w:t>
      </w:r>
      <w:r w:rsidRPr="007B1909">
        <w:rPr>
          <w:lang w:val="en-US"/>
        </w:rPr>
        <w:t>:</w:t>
      </w:r>
      <w:proofErr w:type="gramEnd"/>
      <w:r w:rsidRPr="007B1909">
        <w:rPr>
          <w:lang w:val="en-US"/>
        </w:rPr>
        <w:t xml:space="preserve"> </w:t>
      </w:r>
      <w:r w:rsidRPr="007B1909">
        <w:rPr>
          <w:bCs/>
          <w:lang w:val="en-US"/>
        </w:rPr>
        <w:t xml:space="preserve">No. 5 ;  No.6 </w:t>
      </w:r>
    </w:p>
    <w:p w14:paraId="10E09332" w14:textId="42F364F5" w:rsidR="006427F0" w:rsidRDefault="006427F0" w:rsidP="002A6990">
      <w:pPr>
        <w:rPr>
          <w:lang w:val="en-US"/>
        </w:rPr>
      </w:pPr>
      <w:r>
        <w:rPr>
          <w:lang w:val="en-US"/>
        </w:rPr>
        <w:lastRenderedPageBreak/>
        <w:t xml:space="preserve">Here, we can see how good this model predicts based on the input data percentage with the help of RMSE and MAPE values of the models trained and tested, the </w:t>
      </w:r>
      <w:proofErr w:type="gramStart"/>
      <w:r>
        <w:rPr>
          <w:lang w:val="en-US"/>
        </w:rPr>
        <w:t>Table(</w:t>
      </w:r>
      <w:proofErr w:type="gramEnd"/>
      <w:r>
        <w:rPr>
          <w:lang w:val="en-US"/>
        </w:rPr>
        <w:t>2) provides the values of different datasets with differs prediction SP values of  MAPE and RMSE are given, we can clearly see that as the training data percentage is increased the RMSE</w:t>
      </w:r>
      <w:r w:rsidR="005851BC">
        <w:rPr>
          <w:lang w:val="en-US"/>
        </w:rPr>
        <w:t xml:space="preserve"> and MAPE value is decreasing .</w:t>
      </w:r>
      <w:r w:rsidR="001E20EE">
        <w:rPr>
          <w:lang w:val="en-US"/>
        </w:rPr>
        <w:t xml:space="preserve">                                       </w:t>
      </w:r>
    </w:p>
    <w:p w14:paraId="786E14DC" w14:textId="628A853C" w:rsidR="001E20EE" w:rsidRDefault="007B1909" w:rsidP="002A6990">
      <w:pPr>
        <w:rPr>
          <w:lang w:val="en-US"/>
        </w:rPr>
      </w:pPr>
      <w:r>
        <w:rPr>
          <w:lang w:val="en-US"/>
        </w:rPr>
        <w:t xml:space="preserve">      </w:t>
      </w:r>
      <w:r w:rsidR="006427F0">
        <w:rPr>
          <w:lang w:val="en-US"/>
        </w:rPr>
        <w:t xml:space="preserve"> </w:t>
      </w:r>
      <w:r>
        <w:rPr>
          <w:noProof/>
          <w:lang w:eastAsia="en-IN"/>
        </w:rPr>
        <w:drawing>
          <wp:inline distT="0" distB="0" distL="0" distR="0" wp14:anchorId="154A5B2F" wp14:editId="417D8666">
            <wp:extent cx="2386703" cy="398780"/>
            <wp:effectExtent l="0" t="0" r="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64102" name="Picture 1913364102"/>
                    <pic:cNvPicPr/>
                  </pic:nvPicPr>
                  <pic:blipFill>
                    <a:blip r:embed="rId22">
                      <a:extLst>
                        <a:ext uri="{28A0092B-C50C-407E-A947-70E740481C1C}">
                          <a14:useLocalDpi xmlns:a14="http://schemas.microsoft.com/office/drawing/2010/main" val="0"/>
                        </a:ext>
                      </a:extLst>
                    </a:blip>
                    <a:stretch>
                      <a:fillRect/>
                    </a:stretch>
                  </pic:blipFill>
                  <pic:spPr>
                    <a:xfrm>
                      <a:off x="0" y="0"/>
                      <a:ext cx="2949679" cy="492844"/>
                    </a:xfrm>
                    <a:prstGeom prst="rect">
                      <a:avLst/>
                    </a:prstGeom>
                  </pic:spPr>
                </pic:pic>
              </a:graphicData>
            </a:graphic>
          </wp:inline>
        </w:drawing>
      </w:r>
    </w:p>
    <w:p w14:paraId="6ADBD50F" w14:textId="77777777" w:rsidR="00830E61" w:rsidRDefault="0031396F" w:rsidP="002A6990">
      <w:pPr>
        <w:rPr>
          <w:lang w:val="en-US"/>
        </w:rPr>
      </w:pPr>
      <w:r>
        <w:rPr>
          <w:lang w:val="en-US"/>
        </w:rPr>
        <w:t xml:space="preserve">      </w:t>
      </w:r>
      <w:r w:rsidR="006427F0">
        <w:rPr>
          <w:noProof/>
          <w:lang w:eastAsia="en-IN"/>
        </w:rPr>
        <w:drawing>
          <wp:inline distT="0" distB="0" distL="0" distR="0" wp14:anchorId="557C9DDE" wp14:editId="32D0DA49">
            <wp:extent cx="2524125" cy="419100"/>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97772" name="Picture 1387797772"/>
                    <pic:cNvPicPr/>
                  </pic:nvPicPr>
                  <pic:blipFill>
                    <a:blip r:embed="rId23">
                      <a:extLst>
                        <a:ext uri="{28A0092B-C50C-407E-A947-70E740481C1C}">
                          <a14:useLocalDpi xmlns:a14="http://schemas.microsoft.com/office/drawing/2010/main" val="0"/>
                        </a:ext>
                      </a:extLst>
                    </a:blip>
                    <a:stretch>
                      <a:fillRect/>
                    </a:stretch>
                  </pic:blipFill>
                  <pic:spPr>
                    <a:xfrm>
                      <a:off x="0" y="0"/>
                      <a:ext cx="2524276" cy="419125"/>
                    </a:xfrm>
                    <a:prstGeom prst="rect">
                      <a:avLst/>
                    </a:prstGeom>
                  </pic:spPr>
                </pic:pic>
              </a:graphicData>
            </a:graphic>
          </wp:inline>
        </w:drawing>
      </w:r>
      <w:r w:rsidR="006427F0">
        <w:rPr>
          <w:lang w:val="en-US"/>
        </w:rPr>
        <w:t xml:space="preserve"> </w:t>
      </w:r>
    </w:p>
    <w:p w14:paraId="56E5ADE5" w14:textId="18E02AEF" w:rsidR="0031396F" w:rsidRDefault="006427F0" w:rsidP="002A6990">
      <w:pPr>
        <w:rPr>
          <w:lang w:val="en-US"/>
        </w:rPr>
      </w:pPr>
      <w:r>
        <w:rPr>
          <w:lang w:val="en-US"/>
        </w:rPr>
        <w:t xml:space="preserve"> </w:t>
      </w:r>
    </w:p>
    <w:p w14:paraId="342715E0" w14:textId="05FF4DB1" w:rsidR="0031396F" w:rsidRDefault="0031396F" w:rsidP="002A6990">
      <w:pPr>
        <w:rPr>
          <w:lang w:val="en-US"/>
        </w:rPr>
      </w:pPr>
      <w:r>
        <w:rPr>
          <w:lang w:val="en-US"/>
        </w:rPr>
        <w:t xml:space="preserve"> </w:t>
      </w:r>
      <w:r w:rsidRPr="00B86ECD">
        <w:rPr>
          <w:b/>
          <w:bCs/>
          <w:lang w:val="en-US"/>
        </w:rPr>
        <w:t>Table</w:t>
      </w:r>
      <w:r>
        <w:rPr>
          <w:b/>
          <w:bCs/>
          <w:lang w:val="en-US"/>
        </w:rPr>
        <w:t xml:space="preserve"> </w:t>
      </w:r>
      <w:r w:rsidRPr="00B86ECD">
        <w:rPr>
          <w:b/>
          <w:bCs/>
          <w:lang w:val="en-US"/>
        </w:rPr>
        <w:t xml:space="preserve">2. </w:t>
      </w:r>
      <w:r w:rsidRPr="007B1909">
        <w:rPr>
          <w:bCs/>
        </w:rPr>
        <w:t>Prediction performance</w:t>
      </w:r>
    </w:p>
    <w:tbl>
      <w:tblPr>
        <w:tblStyle w:val="TableGrid"/>
        <w:tblW w:w="9383" w:type="dxa"/>
        <w:tblLook w:val="04A0" w:firstRow="1" w:lastRow="0" w:firstColumn="1" w:lastColumn="0" w:noHBand="0" w:noVBand="1"/>
      </w:tblPr>
      <w:tblGrid>
        <w:gridCol w:w="2426"/>
        <w:gridCol w:w="2403"/>
        <w:gridCol w:w="2399"/>
        <w:gridCol w:w="2155"/>
      </w:tblGrid>
      <w:tr w:rsidR="00B86ECD" w:rsidRPr="004C375E" w14:paraId="0150F044" w14:textId="5E61835E" w:rsidTr="004C375E">
        <w:trPr>
          <w:trHeight w:val="405"/>
        </w:trPr>
        <w:tc>
          <w:tcPr>
            <w:tcW w:w="2426" w:type="dxa"/>
          </w:tcPr>
          <w:p w14:paraId="65B96FE4" w14:textId="1F7C96FA" w:rsidR="00B86ECD" w:rsidRPr="004C375E" w:rsidRDefault="00B86ECD" w:rsidP="004C375E">
            <w:pPr>
              <w:jc w:val="center"/>
              <w:rPr>
                <w:b/>
                <w:bCs/>
                <w:lang w:val="en-US"/>
              </w:rPr>
            </w:pPr>
            <w:r w:rsidRPr="004C375E">
              <w:rPr>
                <w:b/>
                <w:bCs/>
                <w:lang w:val="en-US"/>
              </w:rPr>
              <w:t>Battery</w:t>
            </w:r>
          </w:p>
        </w:tc>
        <w:tc>
          <w:tcPr>
            <w:tcW w:w="2403" w:type="dxa"/>
          </w:tcPr>
          <w:p w14:paraId="16065845" w14:textId="003D9D26" w:rsidR="00B86ECD" w:rsidRPr="004C375E" w:rsidRDefault="00B86ECD" w:rsidP="002A6990">
            <w:pPr>
              <w:rPr>
                <w:b/>
                <w:bCs/>
                <w:lang w:val="en-US"/>
              </w:rPr>
            </w:pPr>
            <w:r w:rsidRPr="004C375E">
              <w:rPr>
                <w:b/>
                <w:bCs/>
                <w:lang w:val="en-US"/>
              </w:rPr>
              <w:t>Prediction SP</w:t>
            </w:r>
          </w:p>
        </w:tc>
        <w:tc>
          <w:tcPr>
            <w:tcW w:w="2399" w:type="dxa"/>
          </w:tcPr>
          <w:p w14:paraId="0C750BC3" w14:textId="5792E696" w:rsidR="00B86ECD" w:rsidRPr="004C375E" w:rsidRDefault="00B86ECD" w:rsidP="002A6990">
            <w:pPr>
              <w:rPr>
                <w:b/>
                <w:bCs/>
                <w:lang w:val="en-US"/>
              </w:rPr>
            </w:pPr>
            <w:r w:rsidRPr="004C375E">
              <w:rPr>
                <w:b/>
                <w:bCs/>
                <w:lang w:val="en-US"/>
              </w:rPr>
              <w:t>MAPE</w:t>
            </w:r>
          </w:p>
        </w:tc>
        <w:tc>
          <w:tcPr>
            <w:tcW w:w="2155" w:type="dxa"/>
          </w:tcPr>
          <w:p w14:paraId="5DF98CFB" w14:textId="77D991E2" w:rsidR="00B86ECD" w:rsidRPr="004C375E" w:rsidRDefault="00B86ECD" w:rsidP="002A6990">
            <w:pPr>
              <w:rPr>
                <w:b/>
                <w:bCs/>
                <w:lang w:val="en-US"/>
              </w:rPr>
            </w:pPr>
            <w:r w:rsidRPr="004C375E">
              <w:rPr>
                <w:b/>
                <w:bCs/>
                <w:lang w:val="en-US"/>
              </w:rPr>
              <w:t>RMSE</w:t>
            </w:r>
          </w:p>
        </w:tc>
      </w:tr>
      <w:tr w:rsidR="00B86ECD" w:rsidRPr="004C375E" w14:paraId="23E2C555" w14:textId="49A25F3C" w:rsidTr="004C375E">
        <w:trPr>
          <w:trHeight w:val="405"/>
        </w:trPr>
        <w:tc>
          <w:tcPr>
            <w:tcW w:w="2426" w:type="dxa"/>
            <w:vMerge w:val="restart"/>
            <w:vAlign w:val="center"/>
          </w:tcPr>
          <w:p w14:paraId="21734F76" w14:textId="6C904797" w:rsidR="00B86ECD" w:rsidRPr="004C375E" w:rsidRDefault="00B86ECD" w:rsidP="004C375E">
            <w:pPr>
              <w:jc w:val="center"/>
              <w:rPr>
                <w:b/>
                <w:bCs/>
                <w:lang w:val="en-US"/>
              </w:rPr>
            </w:pPr>
          </w:p>
          <w:p w14:paraId="191E0B91" w14:textId="761754E7" w:rsidR="00B86ECD" w:rsidRPr="004C375E" w:rsidRDefault="00B86ECD" w:rsidP="004C375E">
            <w:pPr>
              <w:jc w:val="center"/>
              <w:rPr>
                <w:b/>
                <w:bCs/>
                <w:lang w:val="en-US"/>
              </w:rPr>
            </w:pPr>
            <w:r w:rsidRPr="004C375E">
              <w:rPr>
                <w:b/>
                <w:bCs/>
                <w:lang w:val="en-US"/>
              </w:rPr>
              <w:t>B0005</w:t>
            </w:r>
          </w:p>
        </w:tc>
        <w:tc>
          <w:tcPr>
            <w:tcW w:w="2403" w:type="dxa"/>
          </w:tcPr>
          <w:p w14:paraId="30AE6942" w14:textId="17528085" w:rsidR="00B86ECD" w:rsidRPr="00D11565" w:rsidRDefault="00B86ECD" w:rsidP="002A6990">
            <w:pPr>
              <w:rPr>
                <w:lang w:val="en-US"/>
              </w:rPr>
            </w:pPr>
            <w:r w:rsidRPr="00D11565">
              <w:rPr>
                <w:lang w:val="en-US"/>
              </w:rPr>
              <w:t>50</w:t>
            </w:r>
          </w:p>
        </w:tc>
        <w:tc>
          <w:tcPr>
            <w:tcW w:w="2399" w:type="dxa"/>
          </w:tcPr>
          <w:p w14:paraId="2E08D511" w14:textId="61191C64" w:rsidR="00B86ECD" w:rsidRPr="00D11565" w:rsidRDefault="00B86ECD" w:rsidP="002A6990">
            <w:pPr>
              <w:rPr>
                <w:lang w:val="en-US"/>
              </w:rPr>
            </w:pPr>
            <w:r w:rsidRPr="00D11565">
              <w:t>0.4890</w:t>
            </w:r>
          </w:p>
        </w:tc>
        <w:tc>
          <w:tcPr>
            <w:tcW w:w="2155" w:type="dxa"/>
          </w:tcPr>
          <w:p w14:paraId="752C69C5" w14:textId="0B7183DD" w:rsidR="00B86ECD" w:rsidRPr="00D11565" w:rsidRDefault="00B86ECD" w:rsidP="002A6990">
            <w:pPr>
              <w:rPr>
                <w:lang w:val="en-US"/>
              </w:rPr>
            </w:pPr>
            <w:r w:rsidRPr="00D11565">
              <w:t>0.0041</w:t>
            </w:r>
          </w:p>
        </w:tc>
      </w:tr>
      <w:tr w:rsidR="00B86ECD" w:rsidRPr="004C375E" w14:paraId="57E9E718" w14:textId="43E296C3" w:rsidTr="004C375E">
        <w:trPr>
          <w:trHeight w:val="205"/>
        </w:trPr>
        <w:tc>
          <w:tcPr>
            <w:tcW w:w="2426" w:type="dxa"/>
            <w:vMerge/>
          </w:tcPr>
          <w:p w14:paraId="4DB90909" w14:textId="77777777" w:rsidR="00B86ECD" w:rsidRPr="004C375E" w:rsidRDefault="00B86ECD" w:rsidP="004C375E">
            <w:pPr>
              <w:jc w:val="center"/>
              <w:rPr>
                <w:b/>
                <w:bCs/>
                <w:lang w:val="en-US"/>
              </w:rPr>
            </w:pPr>
          </w:p>
        </w:tc>
        <w:tc>
          <w:tcPr>
            <w:tcW w:w="2403" w:type="dxa"/>
          </w:tcPr>
          <w:p w14:paraId="4E9C7479" w14:textId="291CC03F" w:rsidR="00B86ECD" w:rsidRPr="00D11565" w:rsidRDefault="00B86ECD" w:rsidP="002A6990">
            <w:pPr>
              <w:rPr>
                <w:lang w:val="en-US"/>
              </w:rPr>
            </w:pPr>
            <w:r w:rsidRPr="00D11565">
              <w:rPr>
                <w:lang w:val="en-US"/>
              </w:rPr>
              <w:t>7</w:t>
            </w:r>
            <w:r w:rsidR="003D42D9" w:rsidRPr="00D11565">
              <w:rPr>
                <w:lang w:val="en-US"/>
              </w:rPr>
              <w:t>5</w:t>
            </w:r>
          </w:p>
        </w:tc>
        <w:tc>
          <w:tcPr>
            <w:tcW w:w="2399" w:type="dxa"/>
          </w:tcPr>
          <w:p w14:paraId="632D3227" w14:textId="5CEF17BB" w:rsidR="00B86ECD" w:rsidRPr="00D11565" w:rsidRDefault="00B86ECD" w:rsidP="002A6990">
            <w:pPr>
              <w:rPr>
                <w:lang w:val="en-US"/>
              </w:rPr>
            </w:pPr>
            <w:r w:rsidRPr="00D11565">
              <w:t>0.1187</w:t>
            </w:r>
          </w:p>
        </w:tc>
        <w:tc>
          <w:tcPr>
            <w:tcW w:w="2155" w:type="dxa"/>
          </w:tcPr>
          <w:p w14:paraId="66BE9BC4" w14:textId="086F1852" w:rsidR="00B86ECD" w:rsidRPr="00D11565" w:rsidRDefault="00B86ECD" w:rsidP="002A6990">
            <w:pPr>
              <w:rPr>
                <w:lang w:val="en-US"/>
              </w:rPr>
            </w:pPr>
            <w:r w:rsidRPr="00D11565">
              <w:t>0.0011</w:t>
            </w:r>
          </w:p>
        </w:tc>
      </w:tr>
      <w:tr w:rsidR="00B86ECD" w:rsidRPr="004C375E" w14:paraId="04023CF2" w14:textId="396AA1BE" w:rsidTr="004C375E">
        <w:trPr>
          <w:trHeight w:val="405"/>
        </w:trPr>
        <w:tc>
          <w:tcPr>
            <w:tcW w:w="2426" w:type="dxa"/>
            <w:vMerge w:val="restart"/>
          </w:tcPr>
          <w:p w14:paraId="707CBC5A" w14:textId="77777777" w:rsidR="00B86ECD" w:rsidRPr="004C375E" w:rsidRDefault="00B86ECD" w:rsidP="004C375E">
            <w:pPr>
              <w:jc w:val="center"/>
              <w:rPr>
                <w:b/>
                <w:bCs/>
                <w:lang w:val="en-US"/>
              </w:rPr>
            </w:pPr>
          </w:p>
          <w:p w14:paraId="43537742" w14:textId="77D1869B" w:rsidR="00B86ECD" w:rsidRPr="004C375E" w:rsidRDefault="00B86ECD" w:rsidP="004C375E">
            <w:pPr>
              <w:jc w:val="center"/>
              <w:rPr>
                <w:b/>
                <w:bCs/>
                <w:lang w:val="en-US"/>
              </w:rPr>
            </w:pPr>
            <w:r w:rsidRPr="004C375E">
              <w:rPr>
                <w:b/>
                <w:bCs/>
                <w:lang w:val="en-US"/>
              </w:rPr>
              <w:t>B0006</w:t>
            </w:r>
          </w:p>
        </w:tc>
        <w:tc>
          <w:tcPr>
            <w:tcW w:w="2403" w:type="dxa"/>
          </w:tcPr>
          <w:p w14:paraId="7412FC42" w14:textId="13D1ACB9" w:rsidR="00B86ECD" w:rsidRPr="00D11565" w:rsidRDefault="00B86ECD" w:rsidP="002A6990">
            <w:pPr>
              <w:rPr>
                <w:lang w:val="en-US"/>
              </w:rPr>
            </w:pPr>
            <w:r w:rsidRPr="00D11565">
              <w:rPr>
                <w:lang w:val="en-US"/>
              </w:rPr>
              <w:t>50</w:t>
            </w:r>
          </w:p>
        </w:tc>
        <w:tc>
          <w:tcPr>
            <w:tcW w:w="2399" w:type="dxa"/>
          </w:tcPr>
          <w:p w14:paraId="176475A7" w14:textId="34994C91" w:rsidR="00B86ECD" w:rsidRPr="00D11565" w:rsidRDefault="00B86ECD" w:rsidP="002A6990">
            <w:pPr>
              <w:rPr>
                <w:lang w:val="en-US"/>
              </w:rPr>
            </w:pPr>
            <w:r w:rsidRPr="00D11565">
              <w:t>0.6413</w:t>
            </w:r>
          </w:p>
        </w:tc>
        <w:tc>
          <w:tcPr>
            <w:tcW w:w="2155" w:type="dxa"/>
          </w:tcPr>
          <w:p w14:paraId="4ACBD34F" w14:textId="5189AF0C" w:rsidR="00B86ECD" w:rsidRPr="00D11565" w:rsidRDefault="00B86ECD" w:rsidP="002A6990">
            <w:pPr>
              <w:rPr>
                <w:lang w:val="en-US"/>
              </w:rPr>
            </w:pPr>
            <w:r w:rsidRPr="00D11565">
              <w:t>0.0047</w:t>
            </w:r>
          </w:p>
        </w:tc>
      </w:tr>
      <w:tr w:rsidR="00B86ECD" w:rsidRPr="004C375E" w14:paraId="5A26ABC2" w14:textId="08765D03" w:rsidTr="004C375E">
        <w:trPr>
          <w:trHeight w:val="405"/>
        </w:trPr>
        <w:tc>
          <w:tcPr>
            <w:tcW w:w="2426" w:type="dxa"/>
            <w:vMerge/>
          </w:tcPr>
          <w:p w14:paraId="64E8C902" w14:textId="77777777" w:rsidR="00B86ECD" w:rsidRPr="004C375E" w:rsidRDefault="00B86ECD" w:rsidP="004C375E">
            <w:pPr>
              <w:jc w:val="center"/>
              <w:rPr>
                <w:b/>
                <w:bCs/>
                <w:lang w:val="en-US"/>
              </w:rPr>
            </w:pPr>
          </w:p>
        </w:tc>
        <w:tc>
          <w:tcPr>
            <w:tcW w:w="2403" w:type="dxa"/>
          </w:tcPr>
          <w:p w14:paraId="51743B4D" w14:textId="7F31FA09" w:rsidR="00B86ECD" w:rsidRPr="00D11565" w:rsidRDefault="00B86ECD" w:rsidP="002A6990">
            <w:pPr>
              <w:rPr>
                <w:lang w:val="en-US"/>
              </w:rPr>
            </w:pPr>
            <w:r w:rsidRPr="00D11565">
              <w:rPr>
                <w:lang w:val="en-US"/>
              </w:rPr>
              <w:t>7</w:t>
            </w:r>
            <w:r w:rsidR="003D42D9" w:rsidRPr="00D11565">
              <w:rPr>
                <w:lang w:val="en-US"/>
              </w:rPr>
              <w:t>5</w:t>
            </w:r>
          </w:p>
        </w:tc>
        <w:tc>
          <w:tcPr>
            <w:tcW w:w="2399" w:type="dxa"/>
          </w:tcPr>
          <w:p w14:paraId="7313D030" w14:textId="3E75F55D" w:rsidR="00B86ECD" w:rsidRPr="00D11565" w:rsidRDefault="00B86ECD" w:rsidP="002A6990">
            <w:pPr>
              <w:rPr>
                <w:lang w:val="en-US"/>
              </w:rPr>
            </w:pPr>
            <w:r w:rsidRPr="00D11565">
              <w:t>0.1642</w:t>
            </w:r>
          </w:p>
        </w:tc>
        <w:tc>
          <w:tcPr>
            <w:tcW w:w="2155" w:type="dxa"/>
          </w:tcPr>
          <w:p w14:paraId="3FDAF15D" w14:textId="2E761797" w:rsidR="00B86ECD" w:rsidRPr="00D11565" w:rsidRDefault="00B86ECD" w:rsidP="002A6990">
            <w:pPr>
              <w:rPr>
                <w:lang w:val="en-US"/>
              </w:rPr>
            </w:pPr>
            <w:r w:rsidRPr="00D11565">
              <w:t>0.0012</w:t>
            </w:r>
          </w:p>
        </w:tc>
      </w:tr>
      <w:tr w:rsidR="00B86ECD" w:rsidRPr="004C375E" w14:paraId="2C380A0C" w14:textId="4D6A5C3E" w:rsidTr="004C375E">
        <w:trPr>
          <w:trHeight w:val="405"/>
        </w:trPr>
        <w:tc>
          <w:tcPr>
            <w:tcW w:w="2426" w:type="dxa"/>
            <w:vMerge w:val="restart"/>
          </w:tcPr>
          <w:p w14:paraId="6F157647" w14:textId="77777777" w:rsidR="00B86ECD" w:rsidRPr="004C375E" w:rsidRDefault="00B86ECD" w:rsidP="004C375E">
            <w:pPr>
              <w:jc w:val="center"/>
              <w:rPr>
                <w:b/>
                <w:bCs/>
                <w:lang w:val="en-US"/>
              </w:rPr>
            </w:pPr>
          </w:p>
          <w:p w14:paraId="18982817" w14:textId="2F46DF70" w:rsidR="00B86ECD" w:rsidRPr="004C375E" w:rsidRDefault="00B86ECD" w:rsidP="004C375E">
            <w:pPr>
              <w:jc w:val="center"/>
              <w:rPr>
                <w:b/>
                <w:bCs/>
                <w:lang w:val="en-US"/>
              </w:rPr>
            </w:pPr>
            <w:r w:rsidRPr="004C375E">
              <w:rPr>
                <w:b/>
                <w:bCs/>
                <w:lang w:val="en-US"/>
              </w:rPr>
              <w:t>B0007</w:t>
            </w:r>
          </w:p>
        </w:tc>
        <w:tc>
          <w:tcPr>
            <w:tcW w:w="2403" w:type="dxa"/>
          </w:tcPr>
          <w:p w14:paraId="2046C270" w14:textId="5ABF7CFD" w:rsidR="00B86ECD" w:rsidRPr="00D11565" w:rsidRDefault="00B86ECD" w:rsidP="002A6990">
            <w:pPr>
              <w:rPr>
                <w:lang w:val="en-US"/>
              </w:rPr>
            </w:pPr>
            <w:r w:rsidRPr="00D11565">
              <w:rPr>
                <w:lang w:val="en-US"/>
              </w:rPr>
              <w:t>50</w:t>
            </w:r>
          </w:p>
        </w:tc>
        <w:tc>
          <w:tcPr>
            <w:tcW w:w="2399" w:type="dxa"/>
          </w:tcPr>
          <w:p w14:paraId="559E127C" w14:textId="63173A01" w:rsidR="00B86ECD" w:rsidRPr="00D11565" w:rsidRDefault="00B86ECD" w:rsidP="002A6990">
            <w:pPr>
              <w:rPr>
                <w:lang w:val="en-US"/>
              </w:rPr>
            </w:pPr>
            <w:r w:rsidRPr="00D11565">
              <w:t>1.3367</w:t>
            </w:r>
          </w:p>
        </w:tc>
        <w:tc>
          <w:tcPr>
            <w:tcW w:w="2155" w:type="dxa"/>
          </w:tcPr>
          <w:p w14:paraId="0461A01A" w14:textId="27D1312F" w:rsidR="00B86ECD" w:rsidRPr="00D11565" w:rsidRDefault="00B86ECD" w:rsidP="002A6990">
            <w:pPr>
              <w:rPr>
                <w:lang w:val="en-US"/>
              </w:rPr>
            </w:pPr>
            <w:r w:rsidRPr="00D11565">
              <w:t>0.0117</w:t>
            </w:r>
          </w:p>
        </w:tc>
      </w:tr>
      <w:tr w:rsidR="00B86ECD" w:rsidRPr="004C375E" w14:paraId="02F03C44" w14:textId="3047B64D" w:rsidTr="004C375E">
        <w:trPr>
          <w:trHeight w:val="405"/>
        </w:trPr>
        <w:tc>
          <w:tcPr>
            <w:tcW w:w="2426" w:type="dxa"/>
            <w:vMerge/>
          </w:tcPr>
          <w:p w14:paraId="7CE63085" w14:textId="77777777" w:rsidR="00B86ECD" w:rsidRPr="004C375E" w:rsidRDefault="00B86ECD" w:rsidP="004C375E">
            <w:pPr>
              <w:jc w:val="center"/>
              <w:rPr>
                <w:b/>
                <w:bCs/>
                <w:lang w:val="en-US"/>
              </w:rPr>
            </w:pPr>
          </w:p>
        </w:tc>
        <w:tc>
          <w:tcPr>
            <w:tcW w:w="2403" w:type="dxa"/>
          </w:tcPr>
          <w:p w14:paraId="25E04711" w14:textId="5B96C47A" w:rsidR="00B86ECD" w:rsidRPr="00D11565" w:rsidRDefault="00B86ECD" w:rsidP="002A6990">
            <w:pPr>
              <w:rPr>
                <w:lang w:val="en-US"/>
              </w:rPr>
            </w:pPr>
            <w:r w:rsidRPr="00D11565">
              <w:rPr>
                <w:lang w:val="en-US"/>
              </w:rPr>
              <w:t>7</w:t>
            </w:r>
            <w:r w:rsidR="003D42D9" w:rsidRPr="00D11565">
              <w:rPr>
                <w:lang w:val="en-US"/>
              </w:rPr>
              <w:t>5</w:t>
            </w:r>
          </w:p>
        </w:tc>
        <w:tc>
          <w:tcPr>
            <w:tcW w:w="2399" w:type="dxa"/>
          </w:tcPr>
          <w:p w14:paraId="28132E9E" w14:textId="0F85B051" w:rsidR="00B86ECD" w:rsidRPr="00D11565" w:rsidRDefault="004C375E" w:rsidP="002A6990">
            <w:pPr>
              <w:rPr>
                <w:lang w:val="en-US"/>
              </w:rPr>
            </w:pPr>
            <w:r w:rsidRPr="00D11565">
              <w:t>0.6310</w:t>
            </w:r>
          </w:p>
        </w:tc>
        <w:tc>
          <w:tcPr>
            <w:tcW w:w="2155" w:type="dxa"/>
          </w:tcPr>
          <w:p w14:paraId="4A296BEF" w14:textId="0F0BD18C" w:rsidR="00B86ECD" w:rsidRPr="00D11565" w:rsidRDefault="004C375E" w:rsidP="002A6990">
            <w:pPr>
              <w:rPr>
                <w:lang w:val="en-US"/>
              </w:rPr>
            </w:pPr>
            <w:r w:rsidRPr="00D11565">
              <w:t>0.0054</w:t>
            </w:r>
          </w:p>
        </w:tc>
      </w:tr>
      <w:tr w:rsidR="00B86ECD" w:rsidRPr="004C375E" w14:paraId="5A8160FF" w14:textId="321E8000" w:rsidTr="004C375E">
        <w:trPr>
          <w:trHeight w:val="405"/>
        </w:trPr>
        <w:tc>
          <w:tcPr>
            <w:tcW w:w="2426" w:type="dxa"/>
            <w:vMerge w:val="restart"/>
          </w:tcPr>
          <w:p w14:paraId="2DC8B740" w14:textId="77777777" w:rsidR="00B86ECD" w:rsidRPr="004C375E" w:rsidRDefault="00B86ECD" w:rsidP="004C375E">
            <w:pPr>
              <w:jc w:val="center"/>
              <w:rPr>
                <w:b/>
                <w:bCs/>
                <w:lang w:val="en-US"/>
              </w:rPr>
            </w:pPr>
          </w:p>
          <w:p w14:paraId="5544C083" w14:textId="4681F96C" w:rsidR="00B86ECD" w:rsidRPr="004C375E" w:rsidRDefault="00B86ECD" w:rsidP="004C375E">
            <w:pPr>
              <w:jc w:val="center"/>
              <w:rPr>
                <w:b/>
                <w:bCs/>
                <w:lang w:val="en-US"/>
              </w:rPr>
            </w:pPr>
            <w:r w:rsidRPr="004C375E">
              <w:rPr>
                <w:b/>
                <w:bCs/>
                <w:lang w:val="en-US"/>
              </w:rPr>
              <w:t>B0018</w:t>
            </w:r>
          </w:p>
        </w:tc>
        <w:tc>
          <w:tcPr>
            <w:tcW w:w="2403" w:type="dxa"/>
          </w:tcPr>
          <w:p w14:paraId="499A4A31" w14:textId="00C21FD6" w:rsidR="00B86ECD" w:rsidRPr="00D11565" w:rsidRDefault="00B86ECD" w:rsidP="002A6990">
            <w:pPr>
              <w:rPr>
                <w:lang w:val="en-US"/>
              </w:rPr>
            </w:pPr>
            <w:r w:rsidRPr="00D11565">
              <w:rPr>
                <w:lang w:val="en-US"/>
              </w:rPr>
              <w:t>50</w:t>
            </w:r>
          </w:p>
        </w:tc>
        <w:tc>
          <w:tcPr>
            <w:tcW w:w="2399" w:type="dxa"/>
          </w:tcPr>
          <w:p w14:paraId="3F1D1A29" w14:textId="3366E5E4" w:rsidR="00B86ECD" w:rsidRPr="00D11565" w:rsidRDefault="004C375E" w:rsidP="002A6990">
            <w:pPr>
              <w:rPr>
                <w:lang w:val="en-US"/>
              </w:rPr>
            </w:pPr>
            <w:r w:rsidRPr="00D11565">
              <w:t xml:space="preserve">0.2067 </w:t>
            </w:r>
          </w:p>
        </w:tc>
        <w:tc>
          <w:tcPr>
            <w:tcW w:w="2155" w:type="dxa"/>
          </w:tcPr>
          <w:p w14:paraId="5721411D" w14:textId="4A33FBFD" w:rsidR="00B86ECD" w:rsidRPr="00D11565" w:rsidRDefault="004C375E" w:rsidP="002A6990">
            <w:pPr>
              <w:rPr>
                <w:lang w:val="en-US"/>
              </w:rPr>
            </w:pPr>
            <w:r w:rsidRPr="00D11565">
              <w:t>0.0020</w:t>
            </w:r>
          </w:p>
        </w:tc>
      </w:tr>
      <w:tr w:rsidR="00B86ECD" w:rsidRPr="004C375E" w14:paraId="37027FE0" w14:textId="77777777" w:rsidTr="004C375E">
        <w:trPr>
          <w:trHeight w:val="405"/>
        </w:trPr>
        <w:tc>
          <w:tcPr>
            <w:tcW w:w="2426" w:type="dxa"/>
            <w:vMerge/>
          </w:tcPr>
          <w:p w14:paraId="377F85BB" w14:textId="77777777" w:rsidR="00B86ECD" w:rsidRPr="004C375E" w:rsidRDefault="00B86ECD" w:rsidP="00B86ECD">
            <w:pPr>
              <w:jc w:val="center"/>
              <w:rPr>
                <w:b/>
                <w:bCs/>
                <w:lang w:val="en-US"/>
              </w:rPr>
            </w:pPr>
          </w:p>
        </w:tc>
        <w:tc>
          <w:tcPr>
            <w:tcW w:w="2403" w:type="dxa"/>
          </w:tcPr>
          <w:p w14:paraId="323A193F" w14:textId="0A8A7D29" w:rsidR="00B86ECD" w:rsidRPr="00D11565" w:rsidRDefault="00B86ECD" w:rsidP="002A6990">
            <w:pPr>
              <w:rPr>
                <w:lang w:val="en-US"/>
              </w:rPr>
            </w:pPr>
            <w:r w:rsidRPr="00D11565">
              <w:rPr>
                <w:lang w:val="en-US"/>
              </w:rPr>
              <w:t>7</w:t>
            </w:r>
            <w:r w:rsidR="003D42D9" w:rsidRPr="00D11565">
              <w:rPr>
                <w:lang w:val="en-US"/>
              </w:rPr>
              <w:t>5</w:t>
            </w:r>
          </w:p>
        </w:tc>
        <w:tc>
          <w:tcPr>
            <w:tcW w:w="2399" w:type="dxa"/>
          </w:tcPr>
          <w:p w14:paraId="79E75635" w14:textId="2E768B0A" w:rsidR="00B86ECD" w:rsidRPr="00D11565" w:rsidRDefault="004C375E" w:rsidP="002A6990">
            <w:pPr>
              <w:rPr>
                <w:lang w:val="en-US"/>
              </w:rPr>
            </w:pPr>
            <w:r w:rsidRPr="00D11565">
              <w:t>0.1685</w:t>
            </w:r>
          </w:p>
        </w:tc>
        <w:tc>
          <w:tcPr>
            <w:tcW w:w="2155" w:type="dxa"/>
          </w:tcPr>
          <w:p w14:paraId="3AE324AB" w14:textId="0C53C2D3" w:rsidR="00B86ECD" w:rsidRPr="00D11565" w:rsidRDefault="004C375E" w:rsidP="002A6990">
            <w:pPr>
              <w:rPr>
                <w:lang w:val="en-US"/>
              </w:rPr>
            </w:pPr>
            <w:r w:rsidRPr="00D11565">
              <w:t>0.0018</w:t>
            </w:r>
          </w:p>
        </w:tc>
      </w:tr>
    </w:tbl>
    <w:p w14:paraId="4B202FA6" w14:textId="77777777" w:rsidR="00B86ECD" w:rsidRPr="004C375E" w:rsidRDefault="00B86ECD" w:rsidP="002A6990">
      <w:pPr>
        <w:rPr>
          <w:lang w:val="en-US"/>
        </w:rPr>
      </w:pPr>
    </w:p>
    <w:p w14:paraId="65A7C319" w14:textId="77777777" w:rsidR="00BA6C66" w:rsidRPr="00026C7F" w:rsidRDefault="00BA6C66" w:rsidP="007851E1">
      <w:pPr>
        <w:pStyle w:val="ListParagraph"/>
        <w:keepNext/>
        <w:keepLines/>
        <w:numPr>
          <w:ilvl w:val="0"/>
          <w:numId w:val="1"/>
        </w:numPr>
        <w:spacing w:before="40" w:after="0"/>
        <w:contextualSpacing w:val="0"/>
        <w:outlineLvl w:val="1"/>
        <w:rPr>
          <w:rFonts w:eastAsiaTheme="majorEastAsia" w:cstheme="majorBidi"/>
          <w:b/>
          <w:vanish/>
          <w:szCs w:val="26"/>
          <w:lang w:val="en-US"/>
        </w:rPr>
      </w:pPr>
      <w:bookmarkStart w:id="17" w:name="_Toc105233554"/>
      <w:bookmarkStart w:id="18" w:name="_Toc105234155"/>
      <w:bookmarkStart w:id="19" w:name="_Toc105238079"/>
      <w:bookmarkStart w:id="20" w:name="_Toc105246554"/>
      <w:bookmarkStart w:id="21" w:name="_Toc105712695"/>
      <w:bookmarkStart w:id="22" w:name="_Toc105712717"/>
      <w:bookmarkStart w:id="23" w:name="_Toc105712860"/>
      <w:bookmarkStart w:id="24" w:name="_Toc105712900"/>
      <w:bookmarkStart w:id="25" w:name="_Toc105712943"/>
      <w:bookmarkStart w:id="26" w:name="_Toc105713471"/>
      <w:bookmarkStart w:id="27" w:name="_Toc105714811"/>
      <w:bookmarkStart w:id="28" w:name="_Toc105750960"/>
      <w:bookmarkStart w:id="29" w:name="_Toc105773593"/>
      <w:bookmarkStart w:id="30" w:name="_Toc105773705"/>
      <w:bookmarkStart w:id="31" w:name="_Toc105774745"/>
      <w:bookmarkStart w:id="32" w:name="_Toc105781996"/>
      <w:bookmarkStart w:id="33" w:name="_Toc105799103"/>
      <w:bookmarkStart w:id="34" w:name="_Toc152253425"/>
      <w:bookmarkStart w:id="35" w:name="_Toc152253513"/>
      <w:bookmarkStart w:id="36" w:name="_Toc152337791"/>
      <w:bookmarkStart w:id="37" w:name="_Toc152406094"/>
      <w:bookmarkStart w:id="38" w:name="_Toc152527461"/>
      <w:bookmarkStart w:id="39" w:name="_Toc152600078"/>
      <w:bookmarkStart w:id="40" w:name="_Toc152945969"/>
      <w:bookmarkStart w:id="41" w:name="_Toc152946051"/>
      <w:bookmarkStart w:id="42" w:name="_Toc152946071"/>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6D7FCE3C" w14:textId="73CEDB0E" w:rsidR="004C375E" w:rsidRDefault="00B0760F" w:rsidP="004C375E">
      <w:pPr>
        <w:rPr>
          <w:b/>
          <w:bCs/>
        </w:rPr>
      </w:pPr>
      <w:r>
        <w:rPr>
          <w:lang w:val="en-US"/>
        </w:rPr>
        <w:t xml:space="preserve">                                 </w:t>
      </w:r>
      <w:r w:rsidR="004C375E">
        <w:rPr>
          <w:lang w:val="en-US"/>
        </w:rPr>
        <w:t xml:space="preserve">    </w:t>
      </w:r>
    </w:p>
    <w:p w14:paraId="699E4563" w14:textId="5B17D2CD" w:rsidR="00B0760F" w:rsidRPr="00B0760F" w:rsidRDefault="00B0760F" w:rsidP="00B0760F">
      <w:pPr>
        <w:rPr>
          <w:lang w:val="en-US"/>
        </w:rPr>
      </w:pPr>
    </w:p>
    <w:p w14:paraId="64DDC619" w14:textId="088AD632" w:rsidR="00C32FD2" w:rsidRPr="00C32FD2" w:rsidRDefault="00C32FD2" w:rsidP="00C32FD2">
      <w:pPr>
        <w:rPr>
          <w:lang w:val="en-US"/>
        </w:rPr>
      </w:pPr>
      <w:r>
        <w:rPr>
          <w:lang w:val="en-US"/>
        </w:rPr>
        <w:t xml:space="preserve">                     </w:t>
      </w:r>
    </w:p>
    <w:p w14:paraId="4BA15999" w14:textId="0023AEBA" w:rsidR="004C0EF9" w:rsidRPr="004C0EF9" w:rsidRDefault="004C0EF9" w:rsidP="004C0EF9">
      <w:pPr>
        <w:rPr>
          <w:lang w:val="en-US"/>
        </w:rPr>
      </w:pPr>
    </w:p>
    <w:p w14:paraId="362054F3" w14:textId="77777777" w:rsidR="004C0EF9" w:rsidRPr="004C0EF9" w:rsidRDefault="004C0EF9" w:rsidP="004C0EF9">
      <w:pPr>
        <w:rPr>
          <w:lang w:val="en-US"/>
        </w:rPr>
      </w:pPr>
    </w:p>
    <w:p w14:paraId="6048DF70" w14:textId="406CAAF7" w:rsidR="00390649" w:rsidRPr="00390649" w:rsidRDefault="00390649" w:rsidP="00390649">
      <w:pPr>
        <w:rPr>
          <w:lang w:val="en-US"/>
        </w:rPr>
      </w:pPr>
    </w:p>
    <w:p w14:paraId="69D62D1A" w14:textId="7E2A4B85" w:rsidR="00390649" w:rsidRPr="005C0E4F" w:rsidRDefault="00390649" w:rsidP="00390649"/>
    <w:p w14:paraId="42A917C7" w14:textId="77777777" w:rsidR="002A6990" w:rsidRPr="002A6990" w:rsidRDefault="002A6990" w:rsidP="002A6990">
      <w:pPr>
        <w:rPr>
          <w:lang w:val="en-US"/>
        </w:rPr>
      </w:pPr>
    </w:p>
    <w:p w14:paraId="3A1CB2B1" w14:textId="77777777" w:rsidR="00CF2118" w:rsidRDefault="00CF2118" w:rsidP="00CF2118">
      <w:pPr>
        <w:jc w:val="both"/>
      </w:pPr>
    </w:p>
    <w:p w14:paraId="3CF477F0" w14:textId="08016F6F" w:rsidR="00DC23B3" w:rsidRPr="00CF2118" w:rsidRDefault="00C02FBE" w:rsidP="00CF2118">
      <w:pPr>
        <w:jc w:val="both"/>
        <w:rPr>
          <w:lang w:val="en-US"/>
        </w:rPr>
      </w:pPr>
      <w:r>
        <w:rPr>
          <w:vertAlign w:val="superscript"/>
        </w:rPr>
        <w:noBreakHyphen/>
      </w:r>
    </w:p>
    <w:p w14:paraId="73584C57" w14:textId="0CCD59A3" w:rsidR="003228B2" w:rsidRPr="00026C7F" w:rsidRDefault="0073429E" w:rsidP="00864C64">
      <w:pPr>
        <w:pStyle w:val="Heading1"/>
      </w:pPr>
      <w:bookmarkStart w:id="43" w:name="_Toc152946072"/>
      <w:r w:rsidRPr="00026C7F">
        <w:lastRenderedPageBreak/>
        <w:t xml:space="preserve">Concluding </w:t>
      </w:r>
      <w:r w:rsidR="001554BA" w:rsidRPr="00026C7F">
        <w:t>Remarks</w:t>
      </w:r>
      <w:bookmarkEnd w:id="43"/>
    </w:p>
    <w:p w14:paraId="42AA152F" w14:textId="77777777" w:rsidR="00A15846" w:rsidRDefault="00A15846">
      <w:pPr>
        <w:rPr>
          <w:lang w:val="en-US"/>
        </w:rPr>
      </w:pPr>
    </w:p>
    <w:p w14:paraId="2210CFE6" w14:textId="55870919" w:rsidR="00A15846" w:rsidRPr="00E46FC8" w:rsidRDefault="00A15846" w:rsidP="00C02FBE">
      <w:pPr>
        <w:jc w:val="both"/>
      </w:pPr>
      <w:r w:rsidRPr="00E46FC8">
        <w:t>The exploration of lithium-ion battery health through the lens of Indirect Health Indicators (IHIs) and Gaussian Process Regression (GPR) has unveiled promising avenues for advancing our understanding of these critical energy storage systems. As we reflect on the key findings and implications of this research, several notable points come to the fore.</w:t>
      </w:r>
      <w:r w:rsidR="00C02FBE">
        <w:t xml:space="preserve"> </w:t>
      </w:r>
      <w:r w:rsidRPr="00E46FC8">
        <w:t>The robust correlation observed between IHI1, representing the time to the lowest discharge point, and capacity loss underscores its significance as a pivotal health indicator. Monitoring this temporal aspect of discharge efficiency emerges as a practical and effective means of predicting and managing battery health.</w:t>
      </w:r>
      <w:r w:rsidR="00C02FBE">
        <w:t xml:space="preserve"> </w:t>
      </w:r>
      <w:r w:rsidRPr="00E46FC8">
        <w:t xml:space="preserve">The successful application of GPR in </w:t>
      </w:r>
      <w:proofErr w:type="spellStart"/>
      <w:r w:rsidRPr="00E46FC8">
        <w:t>modeling</w:t>
      </w:r>
      <w:proofErr w:type="spellEnd"/>
      <w:r w:rsidRPr="00E46FC8">
        <w:t xml:space="preserve"> battery health signifies the potential of machine learning approaches in deciphering complex relationships within battery datasets. The model's accuracy in predicting capacity loss within the training dataset and its ability to generalize across diverse scenarios highlight the versatility and adaptability of such techniques in the realm of battery management.</w:t>
      </w:r>
      <w:r w:rsidR="00C02FBE">
        <w:t xml:space="preserve"> </w:t>
      </w:r>
      <w:r w:rsidRPr="00E46FC8">
        <w:t>These findings have tangible implications for the design and implementation of battery management systems. Integrating IHI1 into real-time monitoring protocols can enhance the proactive assessment of battery health, enabling timely interventions and extending the lifespan of lithium-ion batteries. The generalization capabilities of the GPR model further emphasize its potential in real-world applications, where batteries encounter varying operational conditions.</w:t>
      </w:r>
      <w:r w:rsidR="00C02FBE">
        <w:t xml:space="preserve"> </w:t>
      </w:r>
      <w:r w:rsidRPr="00E46FC8">
        <w:t>As we conclude, it is essential to recognize the study's limitations and identify avenues for future research. Exploring additional IHIs and comparing various machine learning algorithms could provide a more comprehensive understanding of battery health dynamics. Challenges, such as real-time implementation and scalability, warrant further investigation to ensure practical applicability in diverse settings.</w:t>
      </w:r>
      <w:r w:rsidR="00C02FBE">
        <w:t xml:space="preserve"> </w:t>
      </w:r>
      <w:r w:rsidRPr="00E46FC8">
        <w:t>In the broader context of advancing sustainable energy solutions, this research contributes to the ongoing evolution of battery technology. By refining our ability to monitor, predict, and manage the health of lithium-ion batteries, we pave the way for more efficient and sustainable energy storage systems. This has implications not only for consumer electronics but also for electric vehicles and renewable energy integration, where reliable and durable battery performance is paramount.</w:t>
      </w:r>
      <w:r w:rsidR="00C02FBE">
        <w:t xml:space="preserve"> </w:t>
      </w:r>
      <w:r w:rsidRPr="00E46FC8">
        <w:t>In closing, the synergy of IHIs and machine learning holds immense promise in shaping the future of battery technology. The insights gained from this study serve as a foundation for continued exploration and innovation, with the ultimate goal of fostering a more sustainable and resilient energy landscape. As we navigate the challenges and opportunities in the realm of battery health, these findings propel us towards a future where energy storage is not only efficient but also environmentally conscious and economically viable.</w:t>
      </w:r>
    </w:p>
    <w:p w14:paraId="5CF80A91" w14:textId="05022B27" w:rsidR="00DC23B3" w:rsidRPr="006C08E5" w:rsidRDefault="00DC23B3">
      <w:pPr>
        <w:rPr>
          <w:lang w:val="en-US"/>
        </w:rPr>
      </w:pPr>
      <w:r>
        <w:br w:type="page"/>
      </w:r>
    </w:p>
    <w:p w14:paraId="7DD7F8DB" w14:textId="09AA1519" w:rsidR="00711528" w:rsidRDefault="00711528" w:rsidP="00711528">
      <w:pPr>
        <w:pStyle w:val="Heading1"/>
      </w:pPr>
      <w:bookmarkStart w:id="44" w:name="_Toc152946073"/>
      <w:r w:rsidRPr="00026C7F">
        <w:lastRenderedPageBreak/>
        <w:t>Future Work</w:t>
      </w:r>
      <w:bookmarkEnd w:id="44"/>
    </w:p>
    <w:p w14:paraId="6D360865" w14:textId="77777777" w:rsidR="00CF2118" w:rsidRPr="00CF2118" w:rsidRDefault="00CF2118" w:rsidP="00CF2118">
      <w:pPr>
        <w:rPr>
          <w:lang w:val="en-US"/>
        </w:rPr>
      </w:pPr>
    </w:p>
    <w:p w14:paraId="07AF6A00" w14:textId="3872AA52" w:rsidR="00BC3FF0" w:rsidRPr="00E46FC8" w:rsidRDefault="00BC3FF0" w:rsidP="00233A03">
      <w:pPr>
        <w:jc w:val="both"/>
      </w:pPr>
      <w:r w:rsidRPr="00E46FC8">
        <w:t>The current research has laid a foundation for understanding lithium-ion battery health through Indirect Health Indicators (IHIs) and Gaussian Process Regression (GPR). To further advance this field and address emerging challenges, several avenues for future work can be explored</w:t>
      </w:r>
      <w:r w:rsidR="00AB03AA">
        <w:t xml:space="preserve">. </w:t>
      </w:r>
      <w:r w:rsidRPr="00E46FC8">
        <w:t>Expand the range of IHIs considered to gain a more comprehensive insight into battery health. Factors such as internal resistance, charge acceptance, and impedance spectra could offer valuable perspectives.</w:t>
      </w:r>
      <w:r w:rsidR="00AB03AA">
        <w:t xml:space="preserve"> </w:t>
      </w:r>
      <w:r w:rsidRPr="00E46FC8">
        <w:t xml:space="preserve">Evaluate the performance of alternative machine learning models, such as neural networks or support vector machines, to discern their strengths and weaknesses in predicting battery health. Comparative studies can provide insights into the most effective </w:t>
      </w:r>
      <w:proofErr w:type="spellStart"/>
      <w:r w:rsidRPr="00E46FC8">
        <w:t>modeling</w:t>
      </w:r>
      <w:proofErr w:type="spellEnd"/>
      <w:r w:rsidRPr="00E46FC8">
        <w:t xml:space="preserve"> approaches.</w:t>
      </w:r>
      <w:r w:rsidR="00AB03AA">
        <w:t xml:space="preserve"> </w:t>
      </w:r>
      <w:r w:rsidRPr="00E46FC8">
        <w:t>Investigate the feasibility of real-time implementation of the developed models. Assessing their performance in dynamic, real-world scenarios will enhance their practical applicability for on-the-fly battery health monitoring.</w:t>
      </w:r>
      <w:r w:rsidR="00AB03AA">
        <w:t xml:space="preserve"> </w:t>
      </w:r>
      <w:r w:rsidRPr="00E46FC8">
        <w:t>Explore the scalability of the GPR model and its generalization across diverse battery chemistries and technologies. Understanding the model's adaptability to different types of lithium-ion batteries and emerging energy storage systems is crucial for widespread implementation.</w:t>
      </w:r>
      <w:r w:rsidR="00AB03AA">
        <w:t xml:space="preserve"> </w:t>
      </w:r>
      <w:r w:rsidRPr="00E46FC8">
        <w:t xml:space="preserve">Consider the impact of environmental factors, such as temperature, humidity, and operating conditions, on battery health. Integrating these variables into the </w:t>
      </w:r>
      <w:proofErr w:type="spellStart"/>
      <w:r w:rsidRPr="00E46FC8">
        <w:t>modeling</w:t>
      </w:r>
      <w:proofErr w:type="spellEnd"/>
      <w:r w:rsidRPr="00E46FC8">
        <w:t xml:space="preserve"> process can improve the accuracy and robustness of predictive models.</w:t>
      </w:r>
      <w:r w:rsidR="00AB03AA">
        <w:t xml:space="preserve"> </w:t>
      </w:r>
      <w:r w:rsidRPr="00E46FC8">
        <w:t>Conduct long-term studies to monitor battery health over extended periods. Observing how IHIs evolve and their correlation with capacity loss over time provides insights into the aging mechanisms of lithium-ion batteries.</w:t>
      </w:r>
      <w:r w:rsidR="00C02FBE">
        <w:t xml:space="preserve"> </w:t>
      </w:r>
      <w:r w:rsidRPr="00E46FC8">
        <w:t>Explore hybrid approaches that combine machine learning with physics-based models. Integrating fundamental principles of electrochemistry into machine learning models can enhance the accuracy and interpretability of battery health predictions.</w:t>
      </w:r>
      <w:r w:rsidR="00C02FBE">
        <w:t xml:space="preserve"> </w:t>
      </w:r>
      <w:r w:rsidRPr="00E46FC8">
        <w:t>Validate the developed models in practical applications, such as electric vehicles or renewable energy storage systems. Assessing their performance in real-world settings is crucial for establishing their efficacy and reliability.</w:t>
      </w:r>
      <w:r w:rsidR="00C02FBE">
        <w:t xml:space="preserve"> </w:t>
      </w:r>
      <w:r w:rsidRPr="00E46FC8">
        <w:t>Consider the ethical implications of widespread battery health monitoring, including data privacy and disposal of batteries at the end of their life cycle. Develop strategies for responsible and sustainable battery management practices.</w:t>
      </w:r>
      <w:r w:rsidR="00C02FBE">
        <w:t xml:space="preserve"> </w:t>
      </w:r>
      <w:r w:rsidRPr="00E46FC8">
        <w:t>Foster collaboration with industry partners to implement and validate developed models in large-scale deployments. Working with manufacturers and end-users ensures the relevance and practicality of the research in commercial settings.</w:t>
      </w:r>
    </w:p>
    <w:p w14:paraId="6F824522" w14:textId="77777777" w:rsidR="00BC3FF0" w:rsidRPr="00E46FC8" w:rsidRDefault="00BC3FF0" w:rsidP="00233A03">
      <w:pPr>
        <w:jc w:val="both"/>
      </w:pPr>
      <w:r w:rsidRPr="00E46FC8">
        <w:t>Continued exploration in these areas will contribute to the ongoing evolution of battery health monitoring and management. As technology advances and new challenges emerge, addressing these aspects will be essential to ensure the sustainability, efficiency, and safety of lithium-ion batteries in diverse applications</w:t>
      </w:r>
    </w:p>
    <w:p w14:paraId="2CBBD846" w14:textId="4BD3566A" w:rsidR="00DC23B3" w:rsidRPr="006C08E5" w:rsidRDefault="00DC23B3" w:rsidP="006C08E5">
      <w:pPr>
        <w:jc w:val="both"/>
        <w:rPr>
          <w:rFonts w:cs="Arial"/>
          <w:lang w:val="en-US"/>
        </w:rPr>
      </w:pPr>
      <w:r>
        <w:br w:type="page"/>
      </w:r>
    </w:p>
    <w:p w14:paraId="0B9B4C0E" w14:textId="2CF5F58F" w:rsidR="00F50014" w:rsidRDefault="005631CF" w:rsidP="004C375E">
      <w:pPr>
        <w:pStyle w:val="Heading1"/>
        <w:numPr>
          <w:ilvl w:val="0"/>
          <w:numId w:val="0"/>
        </w:numPr>
        <w:ind w:left="360" w:hanging="360"/>
      </w:pPr>
      <w:bookmarkStart w:id="45" w:name="_References"/>
      <w:bookmarkStart w:id="46" w:name="_Toc152946074"/>
      <w:bookmarkEnd w:id="45"/>
      <w:r w:rsidRPr="00026C7F">
        <w:lastRenderedPageBreak/>
        <w:t>References</w:t>
      </w:r>
      <w:bookmarkEnd w:id="46"/>
      <w:r w:rsidRPr="00026C7F">
        <w:t xml:space="preserve"> </w:t>
      </w:r>
    </w:p>
    <w:p w14:paraId="3CB685B7" w14:textId="77777777" w:rsidR="00CF2118" w:rsidRPr="00CF2118" w:rsidRDefault="00CF2118" w:rsidP="00CF2118">
      <w:pPr>
        <w:rPr>
          <w:lang w:val="en-US"/>
        </w:rPr>
      </w:pPr>
    </w:p>
    <w:p w14:paraId="355B87B8" w14:textId="580CA056" w:rsidR="00AB03AA" w:rsidRDefault="00AB03AA" w:rsidP="007851E1">
      <w:pPr>
        <w:pStyle w:val="EndnoteText"/>
        <w:numPr>
          <w:ilvl w:val="0"/>
          <w:numId w:val="3"/>
        </w:numPr>
        <w:jc w:val="both"/>
      </w:pPr>
      <w:r>
        <w:t xml:space="preserve">Lu, L.; Han, X.; Li, J.; Hua, J.; Ouyang, M. A review on the key issues for lithium-ion battery       management in electric vehicles. J. Power Sources 2013, 226, 272–288. </w:t>
      </w:r>
    </w:p>
    <w:p w14:paraId="1372743D" w14:textId="776FF6DA" w:rsidR="00AB03AA" w:rsidRDefault="00AB03AA" w:rsidP="007851E1">
      <w:pPr>
        <w:pStyle w:val="EndnoteText"/>
        <w:numPr>
          <w:ilvl w:val="0"/>
          <w:numId w:val="3"/>
        </w:numPr>
        <w:jc w:val="both"/>
      </w:pPr>
      <w:r>
        <w:t xml:space="preserve">Takami, N.; Inagaki, H.; </w:t>
      </w:r>
      <w:proofErr w:type="spellStart"/>
      <w:r>
        <w:t>Tatebayashi</w:t>
      </w:r>
      <w:proofErr w:type="spellEnd"/>
      <w:r>
        <w:t xml:space="preserve">, Y.; Saruwatari, H.; Honda, K.; </w:t>
      </w:r>
      <w:proofErr w:type="spellStart"/>
      <w:r>
        <w:t>Egusa</w:t>
      </w:r>
      <w:proofErr w:type="spellEnd"/>
      <w:r>
        <w:t xml:space="preserve">, S. High-power and long-life lithium-ion batteries using lithium titanium oxide anode for automotive and stationary power applications. J. Power Sources 2013, 244, 469–475. </w:t>
      </w:r>
    </w:p>
    <w:p w14:paraId="28E20C32" w14:textId="77777777" w:rsidR="00AB03AA" w:rsidRDefault="00AB03AA" w:rsidP="007851E1">
      <w:pPr>
        <w:pStyle w:val="EndnoteText"/>
        <w:numPr>
          <w:ilvl w:val="0"/>
          <w:numId w:val="3"/>
        </w:numPr>
        <w:jc w:val="both"/>
      </w:pPr>
      <w:r>
        <w:t>Hu, X.; Zou, C.; Zhang, C.; Li, Y. Technological Developments in Batteries: A Survey of Principal Roles, Types, and Management Needs. IEEE Power Energy Mag. 2017, 15, 20–31</w:t>
      </w:r>
    </w:p>
    <w:p w14:paraId="02FAB14F" w14:textId="77777777" w:rsidR="00AB03AA" w:rsidRDefault="00AB03AA" w:rsidP="007851E1">
      <w:pPr>
        <w:pStyle w:val="EndnoteText"/>
        <w:numPr>
          <w:ilvl w:val="0"/>
          <w:numId w:val="3"/>
        </w:numPr>
        <w:jc w:val="both"/>
      </w:pPr>
      <w:r>
        <w:t>Doughty, D.H.; Roth, E.P. A General Discussion of Li Ion Battery Safety. Interface Mag. 2012, 21, 37–44.</w:t>
      </w:r>
    </w:p>
    <w:p w14:paraId="6670E0B0" w14:textId="1D5E13D1" w:rsidR="00AB03AA" w:rsidRDefault="00AB03AA" w:rsidP="007851E1">
      <w:pPr>
        <w:pStyle w:val="EndnoteText"/>
        <w:numPr>
          <w:ilvl w:val="0"/>
          <w:numId w:val="3"/>
        </w:numPr>
        <w:jc w:val="both"/>
      </w:pPr>
      <w:r>
        <w:t xml:space="preserve">Wang, Q.; Mao, B.; </w:t>
      </w:r>
      <w:proofErr w:type="spellStart"/>
      <w:r>
        <w:t>Stoliarov</w:t>
      </w:r>
      <w:proofErr w:type="spellEnd"/>
      <w:r>
        <w:t xml:space="preserve">, S.I.; Sun, J. A review of </w:t>
      </w:r>
      <w:proofErr w:type="gramStart"/>
      <w:r>
        <w:t>lithium ion</w:t>
      </w:r>
      <w:proofErr w:type="gramEnd"/>
      <w:r>
        <w:t xml:space="preserve"> battery failure mechanisms and fire prevention strategies. Prog. Energy Combust. Sci. 2019, 73, 95–131.</w:t>
      </w:r>
    </w:p>
    <w:p w14:paraId="1368BA9A" w14:textId="32F57A81" w:rsidR="00AB03AA" w:rsidRDefault="00AB03AA" w:rsidP="007851E1">
      <w:pPr>
        <w:pStyle w:val="EndnoteText"/>
        <w:numPr>
          <w:ilvl w:val="0"/>
          <w:numId w:val="3"/>
        </w:numPr>
        <w:jc w:val="both"/>
      </w:pPr>
      <w:r>
        <w:t xml:space="preserve">Su, C.; Chen, H.J. A review on prognostics approaches for remaining useful life of lithium-ion battery. IOP Conf. Ser. Earth Environ. Sci. 2017, 93, 012040. </w:t>
      </w:r>
    </w:p>
    <w:p w14:paraId="33CB5753" w14:textId="7F8F95AA" w:rsidR="00AB03AA" w:rsidRDefault="00AB03AA" w:rsidP="007851E1">
      <w:pPr>
        <w:pStyle w:val="EndnoteText"/>
        <w:numPr>
          <w:ilvl w:val="0"/>
          <w:numId w:val="3"/>
        </w:numPr>
        <w:jc w:val="both"/>
      </w:pPr>
      <w:r>
        <w:t xml:space="preserve">Doyle, M.; Fuller, T.F.; Newman, J. </w:t>
      </w:r>
      <w:proofErr w:type="spellStart"/>
      <w:r>
        <w:t>Modeling</w:t>
      </w:r>
      <w:proofErr w:type="spellEnd"/>
      <w:r>
        <w:t xml:space="preserve"> of Galvanostatic Charge and Discharge of the Lithium/Polymer/Insertion Cell. J. </w:t>
      </w:r>
      <w:proofErr w:type="spellStart"/>
      <w:r>
        <w:t>Electrochem</w:t>
      </w:r>
      <w:proofErr w:type="spellEnd"/>
      <w:r>
        <w:t>. Soc. 1993, 140, 1526–1533</w:t>
      </w:r>
      <w:r w:rsidR="00F31AA2">
        <w:t>.</w:t>
      </w:r>
    </w:p>
    <w:p w14:paraId="1AE1D988" w14:textId="00B3AE91" w:rsidR="00AB03AA" w:rsidRDefault="00AB03AA" w:rsidP="007851E1">
      <w:pPr>
        <w:pStyle w:val="EndnoteText"/>
        <w:numPr>
          <w:ilvl w:val="0"/>
          <w:numId w:val="3"/>
        </w:numPr>
        <w:jc w:val="both"/>
      </w:pPr>
      <w:r>
        <w:t xml:space="preserve"> Doyle, M.; Newman, J. </w:t>
      </w:r>
      <w:proofErr w:type="spellStart"/>
      <w:r>
        <w:t>Modeling</w:t>
      </w:r>
      <w:proofErr w:type="spellEnd"/>
      <w:r>
        <w:t xml:space="preserve"> the performance of rechargeable lithium-based cells: Design correlations for limiting cases. J. Power Sources 1995, 54, 46–51</w:t>
      </w:r>
      <w:r w:rsidR="00F31AA2">
        <w:t>.</w:t>
      </w:r>
    </w:p>
    <w:p w14:paraId="6562E9BB" w14:textId="083CB145" w:rsidR="00AB03AA" w:rsidRDefault="00AB03AA" w:rsidP="007851E1">
      <w:pPr>
        <w:pStyle w:val="EndnoteText"/>
        <w:numPr>
          <w:ilvl w:val="0"/>
          <w:numId w:val="3"/>
        </w:numPr>
        <w:jc w:val="both"/>
      </w:pPr>
      <w:r>
        <w:t xml:space="preserve">Doyle, M.; Newman, J.; </w:t>
      </w:r>
      <w:proofErr w:type="spellStart"/>
      <w:r>
        <w:t>Gozdz</w:t>
      </w:r>
      <w:proofErr w:type="spellEnd"/>
      <w:r>
        <w:t xml:space="preserve">, A.S.; Schmutz, C.N.; </w:t>
      </w:r>
      <w:proofErr w:type="spellStart"/>
      <w:r>
        <w:t>Tarascon</w:t>
      </w:r>
      <w:proofErr w:type="spellEnd"/>
      <w:r>
        <w:t xml:space="preserve">, J.M. Comparison of </w:t>
      </w:r>
      <w:proofErr w:type="spellStart"/>
      <w:r>
        <w:t>Modeling</w:t>
      </w:r>
      <w:proofErr w:type="spellEnd"/>
      <w:r>
        <w:t xml:space="preserve"> Predictions with Experimental Data from Plastic Lithium Ion Cells. J. </w:t>
      </w:r>
      <w:proofErr w:type="spellStart"/>
      <w:r>
        <w:t>Electrochem</w:t>
      </w:r>
      <w:proofErr w:type="spellEnd"/>
      <w:r>
        <w:t xml:space="preserve">. Soc. 1996, 143, 1890–1903. </w:t>
      </w:r>
    </w:p>
    <w:p w14:paraId="1EAD9509" w14:textId="11801369" w:rsidR="00AB03AA" w:rsidRDefault="00AB03AA" w:rsidP="007851E1">
      <w:pPr>
        <w:pStyle w:val="EndnoteText"/>
        <w:numPr>
          <w:ilvl w:val="0"/>
          <w:numId w:val="3"/>
        </w:numPr>
        <w:jc w:val="both"/>
      </w:pPr>
      <w:r>
        <w:t xml:space="preserve">Safari, M.; </w:t>
      </w:r>
      <w:proofErr w:type="spellStart"/>
      <w:r>
        <w:t>Morcrette</w:t>
      </w:r>
      <w:proofErr w:type="spellEnd"/>
      <w:r>
        <w:t xml:space="preserve">, M.; </w:t>
      </w:r>
      <w:proofErr w:type="spellStart"/>
      <w:r>
        <w:t>Teyssot</w:t>
      </w:r>
      <w:proofErr w:type="spellEnd"/>
      <w:r>
        <w:t xml:space="preserve">, A.; </w:t>
      </w:r>
      <w:proofErr w:type="spellStart"/>
      <w:r>
        <w:t>Delacourt</w:t>
      </w:r>
      <w:proofErr w:type="spellEnd"/>
      <w:r>
        <w:t xml:space="preserve">, C. Multimodal Physics-Based Aging Model for Life Prediction of Li-Ion Batteries. J. </w:t>
      </w:r>
      <w:proofErr w:type="spellStart"/>
      <w:r>
        <w:t>Electrochem</w:t>
      </w:r>
      <w:proofErr w:type="spellEnd"/>
      <w:r>
        <w:t>. Soc. 2009, 156, A145</w:t>
      </w:r>
      <w:r w:rsidR="00F31AA2">
        <w:t>.</w:t>
      </w:r>
    </w:p>
    <w:p w14:paraId="043B358B" w14:textId="79756441" w:rsidR="00AB03AA" w:rsidRDefault="00AB03AA" w:rsidP="007851E1">
      <w:pPr>
        <w:pStyle w:val="EndnoteText"/>
        <w:numPr>
          <w:ilvl w:val="0"/>
          <w:numId w:val="3"/>
        </w:numPr>
        <w:jc w:val="both"/>
      </w:pPr>
      <w:r>
        <w:t xml:space="preserve"> Abe, T.; Fukuda, H.; </w:t>
      </w:r>
      <w:proofErr w:type="spellStart"/>
      <w:r>
        <w:t>Iriyama</w:t>
      </w:r>
      <w:proofErr w:type="spellEnd"/>
      <w:r>
        <w:t xml:space="preserve">, Y.; </w:t>
      </w:r>
      <w:proofErr w:type="spellStart"/>
      <w:r>
        <w:t>Ogumi</w:t>
      </w:r>
      <w:proofErr w:type="spellEnd"/>
      <w:r>
        <w:t xml:space="preserve">, Z. Solvated Li-Ion Transfer at Interface Between Graphite and Electrolyte. J. </w:t>
      </w:r>
      <w:proofErr w:type="spellStart"/>
      <w:r>
        <w:t>Electrochem</w:t>
      </w:r>
      <w:proofErr w:type="spellEnd"/>
      <w:r>
        <w:t xml:space="preserve">. Soc. 2004, 151, A1120. </w:t>
      </w:r>
    </w:p>
    <w:p w14:paraId="6E81BC9B" w14:textId="75993AD0" w:rsidR="00AB03AA" w:rsidRDefault="00AB03AA" w:rsidP="007851E1">
      <w:pPr>
        <w:pStyle w:val="EndnoteText"/>
        <w:numPr>
          <w:ilvl w:val="0"/>
          <w:numId w:val="3"/>
        </w:numPr>
        <w:jc w:val="both"/>
      </w:pPr>
      <w:r>
        <w:t xml:space="preserve"> Xu, K.; von </w:t>
      </w:r>
      <w:proofErr w:type="spellStart"/>
      <w:r>
        <w:t>Cresce</w:t>
      </w:r>
      <w:proofErr w:type="spellEnd"/>
      <w:r>
        <w:t xml:space="preserve">, A.; Lee, U. Differentiating Contributions to “Ion Transfer” Barrier from </w:t>
      </w:r>
      <w:proofErr w:type="spellStart"/>
      <w:r>
        <w:t>Interphasial</w:t>
      </w:r>
      <w:proofErr w:type="spellEnd"/>
      <w:r>
        <w:t xml:space="preserve"> Resistance and Li + </w:t>
      </w:r>
      <w:proofErr w:type="spellStart"/>
      <w:r>
        <w:t>Desolvation</w:t>
      </w:r>
      <w:proofErr w:type="spellEnd"/>
      <w:r>
        <w:t xml:space="preserve"> at Electrolyte/Graphite Interface. Langmuir 2010, 26, 11538–11543.  </w:t>
      </w:r>
    </w:p>
    <w:p w14:paraId="022D7F79" w14:textId="40B31CD0" w:rsidR="00AB03AA" w:rsidRDefault="00AB03AA" w:rsidP="007851E1">
      <w:pPr>
        <w:pStyle w:val="EndnoteText"/>
        <w:numPr>
          <w:ilvl w:val="0"/>
          <w:numId w:val="3"/>
        </w:numPr>
        <w:jc w:val="both"/>
      </w:pPr>
      <w:r>
        <w:t xml:space="preserve"> Sankarasubramanian, S.; Krishnamurthy, B. A capacity fade model for lithium-ion batteries including diffusion and kinetics. </w:t>
      </w:r>
      <w:proofErr w:type="spellStart"/>
      <w:r>
        <w:t>Electrochim</w:t>
      </w:r>
      <w:proofErr w:type="spellEnd"/>
      <w:r>
        <w:t xml:space="preserve">. Acta 2012, 70, 248–254. </w:t>
      </w:r>
    </w:p>
    <w:p w14:paraId="267FED7F" w14:textId="70921DAA" w:rsidR="00AB03AA" w:rsidRDefault="00AB03AA" w:rsidP="007851E1">
      <w:pPr>
        <w:pStyle w:val="EndnoteText"/>
        <w:numPr>
          <w:ilvl w:val="0"/>
          <w:numId w:val="3"/>
        </w:numPr>
        <w:jc w:val="both"/>
      </w:pPr>
      <w:proofErr w:type="spellStart"/>
      <w:r>
        <w:t>Ramadesigan</w:t>
      </w:r>
      <w:proofErr w:type="spellEnd"/>
      <w:r>
        <w:t xml:space="preserve">, V.; Chen, K.; </w:t>
      </w:r>
      <w:r w:rsidRPr="00701323">
        <w:rPr>
          <w:vertAlign w:val="superscript"/>
        </w:rPr>
        <w:t>Burns</w:t>
      </w:r>
      <w:r>
        <w:t xml:space="preserve">, N.A.; </w:t>
      </w:r>
      <w:proofErr w:type="spellStart"/>
      <w:r>
        <w:t>Boovaragavan</w:t>
      </w:r>
      <w:proofErr w:type="spellEnd"/>
      <w:r>
        <w:t xml:space="preserve">, V.; Braatz, R.D.; Subramanian, V.R. Parameter Estimation and Capacity Fade Analysis of Lithium-Ion Batteries Using Reformulated Models. J. </w:t>
      </w:r>
      <w:proofErr w:type="spellStart"/>
      <w:r>
        <w:t>Electrochem</w:t>
      </w:r>
      <w:proofErr w:type="spellEnd"/>
      <w:r>
        <w:t>. Soc. 2011, 158, A1048.</w:t>
      </w:r>
    </w:p>
    <w:p w14:paraId="14C6DEE2" w14:textId="3088E9DC" w:rsidR="00AB03AA" w:rsidRDefault="00AB03AA" w:rsidP="007851E1">
      <w:pPr>
        <w:pStyle w:val="EndnoteText"/>
        <w:numPr>
          <w:ilvl w:val="0"/>
          <w:numId w:val="3"/>
        </w:numPr>
        <w:jc w:val="both"/>
      </w:pPr>
      <w:r>
        <w:t xml:space="preserve">Ashwin, T.R.; Chung, Y.M.; Wang, J. Capacity fade modelling of lithium-ion battery under cyclic loading conditions. J. Power Sources 2016, 328, 586–598. </w:t>
      </w:r>
    </w:p>
    <w:p w14:paraId="2C6141FE" w14:textId="4DFCECA6" w:rsidR="00AB03AA" w:rsidRDefault="00AB03AA" w:rsidP="007851E1">
      <w:pPr>
        <w:pStyle w:val="EndnoteText"/>
        <w:numPr>
          <w:ilvl w:val="0"/>
          <w:numId w:val="3"/>
        </w:numPr>
        <w:jc w:val="both"/>
      </w:pPr>
      <w:r>
        <w:t xml:space="preserve">Johnson, V.H. Battery performance models in ADVISOR. J. Power Sources 2002, 110, 321–329. </w:t>
      </w:r>
    </w:p>
    <w:p w14:paraId="2A2D8876" w14:textId="25C2CD17" w:rsidR="00AB03AA" w:rsidRDefault="00AB03AA" w:rsidP="007851E1">
      <w:pPr>
        <w:pStyle w:val="EndnoteText"/>
        <w:numPr>
          <w:ilvl w:val="0"/>
          <w:numId w:val="3"/>
        </w:numPr>
        <w:jc w:val="both"/>
      </w:pPr>
      <w:r>
        <w:t>Liu, C.; Wang, Y.; Chen, Z. Degradation model and cycle life prediction for lithium-ion battery used in hybrid energy storage system. Energy 2019, 166, 796–806.</w:t>
      </w:r>
    </w:p>
    <w:p w14:paraId="2FD8F2E1" w14:textId="44940C59" w:rsidR="00AB03AA" w:rsidRDefault="00AB03AA" w:rsidP="007851E1">
      <w:pPr>
        <w:pStyle w:val="EndnoteText"/>
        <w:numPr>
          <w:ilvl w:val="0"/>
          <w:numId w:val="3"/>
        </w:numPr>
        <w:jc w:val="both"/>
      </w:pPr>
      <w:r>
        <w:t>Wang, Y.; Yang, D.; Zhang, X.; Chen, Z. Probability based remaining capacity estimation using data-driven and neural network model. J. Power Sources 2016, 315, 199–208</w:t>
      </w:r>
      <w:r w:rsidR="00F31AA2">
        <w:t>.</w:t>
      </w:r>
      <w:r>
        <w:t xml:space="preserve"> </w:t>
      </w:r>
    </w:p>
    <w:p w14:paraId="30EA7DAD" w14:textId="6D384387" w:rsidR="00AB03AA" w:rsidRDefault="00AB03AA" w:rsidP="007851E1">
      <w:pPr>
        <w:pStyle w:val="EndnoteText"/>
        <w:numPr>
          <w:ilvl w:val="0"/>
          <w:numId w:val="3"/>
        </w:numPr>
        <w:jc w:val="both"/>
      </w:pPr>
      <w:r>
        <w:t xml:space="preserve">Wang, D.; Miao, Q.; Pecht, M. Prognostics of lithium-ion batteries based on relevance vectors and a conditional three-parameter capacity degradation model. J. Power Sources 2013, 239, 253–264.  </w:t>
      </w:r>
    </w:p>
    <w:p w14:paraId="2EE42AD1" w14:textId="569D6624" w:rsidR="00AB03AA" w:rsidRDefault="00AB03AA" w:rsidP="007851E1">
      <w:pPr>
        <w:pStyle w:val="EndnoteText"/>
        <w:numPr>
          <w:ilvl w:val="0"/>
          <w:numId w:val="3"/>
        </w:numPr>
        <w:jc w:val="both"/>
      </w:pPr>
      <w:r>
        <w:t xml:space="preserve"> Li, Y.; Liu, K.; Foley, A.M.; </w:t>
      </w:r>
      <w:proofErr w:type="spellStart"/>
      <w:r>
        <w:t>Berecibar</w:t>
      </w:r>
      <w:proofErr w:type="spellEnd"/>
      <w:r>
        <w:t xml:space="preserve">, M.; </w:t>
      </w:r>
      <w:proofErr w:type="spellStart"/>
      <w:r>
        <w:t>Nanini</w:t>
      </w:r>
      <w:proofErr w:type="spellEnd"/>
      <w:r>
        <w:t xml:space="preserve">-Maury, E.; van Mierlo, J.; </w:t>
      </w:r>
      <w:proofErr w:type="spellStart"/>
      <w:r>
        <w:t>Hoster</w:t>
      </w:r>
      <w:proofErr w:type="spellEnd"/>
      <w:r>
        <w:t xml:space="preserve">, H.E. Data-driven health estimation and lifetime prediction of lithium-ion batteries: A review. Renew. Sustain. Energy Rev. 2019, 113, 109254.  </w:t>
      </w:r>
    </w:p>
    <w:p w14:paraId="024B6D05" w14:textId="6F646471" w:rsidR="00AB03AA" w:rsidRDefault="00AB03AA" w:rsidP="007851E1">
      <w:pPr>
        <w:pStyle w:val="EndnoteText"/>
        <w:numPr>
          <w:ilvl w:val="0"/>
          <w:numId w:val="3"/>
        </w:numPr>
        <w:jc w:val="both"/>
      </w:pPr>
      <w:r>
        <w:t xml:space="preserve">Long, B.; Xian, W.; Jiang, L.; Liu, Z. An improved autoregressive model by particle swarm optimization for prognostics of lithium-ion batteries. Microelectron. </w:t>
      </w:r>
      <w:proofErr w:type="spellStart"/>
      <w:r>
        <w:t>Reliab</w:t>
      </w:r>
      <w:proofErr w:type="spellEnd"/>
      <w:r>
        <w:t xml:space="preserve">. 2013, 53, 821–831. </w:t>
      </w:r>
    </w:p>
    <w:p w14:paraId="22A20B2C" w14:textId="796E3C6E" w:rsidR="00AB03AA" w:rsidRDefault="00AB03AA" w:rsidP="007851E1">
      <w:pPr>
        <w:pStyle w:val="EndnoteText"/>
        <w:numPr>
          <w:ilvl w:val="0"/>
          <w:numId w:val="3"/>
        </w:numPr>
        <w:jc w:val="both"/>
      </w:pPr>
      <w:r>
        <w:t xml:space="preserve"> Andre, D.; Nuhic, A.; Soczka-Guth, T.; Sauer, D.U. Comparative study of a structured neural network and an extended Kalman filter for state of health determination of lithium-ion batteries in hybrid </w:t>
      </w:r>
      <w:proofErr w:type="spellStart"/>
      <w:r>
        <w:t>electricvehicles</w:t>
      </w:r>
      <w:proofErr w:type="spellEnd"/>
      <w:r>
        <w:t xml:space="preserve">. Eng. Appl. </w:t>
      </w:r>
      <w:proofErr w:type="spellStart"/>
      <w:r>
        <w:t>Artif</w:t>
      </w:r>
      <w:proofErr w:type="spellEnd"/>
      <w:r>
        <w:t xml:space="preserve">. </w:t>
      </w:r>
      <w:proofErr w:type="spellStart"/>
      <w:r>
        <w:t>Intell</w:t>
      </w:r>
      <w:proofErr w:type="spellEnd"/>
      <w:r>
        <w:t xml:space="preserve">. 2013, 26, 951–961. </w:t>
      </w:r>
    </w:p>
    <w:p w14:paraId="3D934CDC" w14:textId="77777777" w:rsidR="00AB03AA" w:rsidRDefault="00AB03AA" w:rsidP="007851E1">
      <w:pPr>
        <w:pStyle w:val="EndnoteText"/>
        <w:numPr>
          <w:ilvl w:val="0"/>
          <w:numId w:val="3"/>
        </w:numPr>
        <w:jc w:val="both"/>
      </w:pPr>
      <w:r>
        <w:lastRenderedPageBreak/>
        <w:t xml:space="preserve">Gao, D.; Huang, M. Prediction of Remaining Useful Life of Lithium-ion Battery based on Multi-kernel Support Vector Machine with Particle Swarm Optimization. J. Power Electron. 2017, 17, 1288–1297. </w:t>
      </w:r>
    </w:p>
    <w:p w14:paraId="56F87567" w14:textId="5485B3EF" w:rsidR="00AB03AA" w:rsidRDefault="00AB03AA" w:rsidP="007851E1">
      <w:pPr>
        <w:pStyle w:val="EndnoteText"/>
        <w:numPr>
          <w:ilvl w:val="0"/>
          <w:numId w:val="3"/>
        </w:numPr>
        <w:jc w:val="both"/>
      </w:pPr>
      <w:r>
        <w:t xml:space="preserve"> He, Y.J.; Shen, J.N.; Shen, J.F.; Ma, Z.F. State of health estimation of lithium-ion batteries: A multiscale Gaussian process regression </w:t>
      </w:r>
      <w:proofErr w:type="spellStart"/>
      <w:r>
        <w:t>modeling</w:t>
      </w:r>
      <w:proofErr w:type="spellEnd"/>
      <w:r>
        <w:t xml:space="preserve"> approach. AIChE J. 2015, 61, 1589–1600.  </w:t>
      </w:r>
    </w:p>
    <w:p w14:paraId="14BCD653" w14:textId="54223913" w:rsidR="00AB03AA" w:rsidRDefault="00AB03AA" w:rsidP="007851E1">
      <w:pPr>
        <w:pStyle w:val="EndnoteText"/>
        <w:numPr>
          <w:ilvl w:val="0"/>
          <w:numId w:val="3"/>
        </w:numPr>
        <w:jc w:val="both"/>
      </w:pPr>
      <w:r>
        <w:t xml:space="preserve"> Richardson, R.R.; Osborne, M.A.; Howey, D.A. Gaussian process regression for forecasting battery state of health. J. Power Sources 2017, 357, 209–219</w:t>
      </w:r>
      <w:r w:rsidR="00F31AA2">
        <w:t>.</w:t>
      </w:r>
      <w:r>
        <w:t xml:space="preserve"> </w:t>
      </w:r>
    </w:p>
    <w:p w14:paraId="2B76E2D4" w14:textId="2141F2E9" w:rsidR="00AB03AA" w:rsidRDefault="00AB03AA" w:rsidP="007851E1">
      <w:pPr>
        <w:pStyle w:val="EndnoteText"/>
        <w:numPr>
          <w:ilvl w:val="0"/>
          <w:numId w:val="3"/>
        </w:numPr>
        <w:jc w:val="both"/>
      </w:pPr>
      <w:r>
        <w:t xml:space="preserve"> Liu, D.; Pang, J.; Zhou, J.; Pecht, M. Prognostics for state of health estimation of lithium-ion batteries based on combination Gaussian process functional regression. Microelectron. </w:t>
      </w:r>
      <w:proofErr w:type="spellStart"/>
      <w:r>
        <w:t>Reliab</w:t>
      </w:r>
      <w:proofErr w:type="spellEnd"/>
      <w:r>
        <w:t>. 2013, 53, 832–839.</w:t>
      </w:r>
    </w:p>
    <w:p w14:paraId="0AE8AD18" w14:textId="67C9F8DA" w:rsidR="00AB03AA" w:rsidRDefault="00AB03AA" w:rsidP="007851E1">
      <w:pPr>
        <w:pStyle w:val="EndnoteText"/>
        <w:numPr>
          <w:ilvl w:val="0"/>
          <w:numId w:val="3"/>
        </w:numPr>
        <w:jc w:val="both"/>
      </w:pPr>
      <w:r>
        <w:t xml:space="preserve"> Peng, Y.; Hou, Y.; Song, Y.; Pang, J.; Liu, D. Lithium-Ion Battery Prognostics with Hybrid Gaussian Process Function Regression. Energies 2018, 11, 1420.  </w:t>
      </w:r>
    </w:p>
    <w:p w14:paraId="1B452F8A" w14:textId="636AB59B" w:rsidR="00AB03AA" w:rsidRDefault="00AB03AA" w:rsidP="007851E1">
      <w:pPr>
        <w:pStyle w:val="EndnoteText"/>
        <w:numPr>
          <w:ilvl w:val="0"/>
          <w:numId w:val="3"/>
        </w:numPr>
        <w:jc w:val="both"/>
      </w:pPr>
      <w:r>
        <w:t xml:space="preserve"> Yu, J. State of health prediction of lithium-ion batteries: Multiscale logic regression and Gaussian process regression ensemble. </w:t>
      </w:r>
      <w:proofErr w:type="spellStart"/>
      <w:r>
        <w:t>Reliab</w:t>
      </w:r>
      <w:proofErr w:type="spellEnd"/>
      <w:r>
        <w:t xml:space="preserve">. Eng. Syst. </w:t>
      </w:r>
      <w:proofErr w:type="spellStart"/>
      <w:r>
        <w:t>Saf</w:t>
      </w:r>
      <w:proofErr w:type="spellEnd"/>
      <w:r>
        <w:t xml:space="preserve">. 2018, 174, 82–95.  </w:t>
      </w:r>
    </w:p>
    <w:p w14:paraId="483D6EFD" w14:textId="34C55683" w:rsidR="00AB03AA" w:rsidRDefault="00AB03AA" w:rsidP="007851E1">
      <w:pPr>
        <w:pStyle w:val="EndnoteText"/>
        <w:numPr>
          <w:ilvl w:val="0"/>
          <w:numId w:val="3"/>
        </w:numPr>
        <w:jc w:val="both"/>
      </w:pPr>
      <w:r>
        <w:t xml:space="preserve"> Yang, D.; Zhang, X.; Pan, R.; Wang, Y.; Chen, Z. A novel Gaussian process regression model for state-of-health estimation of lithium-ion battery using charging curve. J. Power Sources 2018, 384, 387–395.  </w:t>
      </w:r>
    </w:p>
    <w:p w14:paraId="77D7C00A" w14:textId="77777777" w:rsidR="00AB03AA" w:rsidRDefault="00AB03AA" w:rsidP="007851E1">
      <w:pPr>
        <w:pStyle w:val="EndnoteText"/>
        <w:numPr>
          <w:ilvl w:val="0"/>
          <w:numId w:val="3"/>
        </w:numPr>
        <w:jc w:val="both"/>
      </w:pPr>
      <w:r>
        <w:t xml:space="preserve"> Saha, B.; Goebel, K. Battery Data Set. Available online: https://ti.arc.nasa.gov/tech/dash/groups/pcoe/ prognostic-data-repository/ (accessed on 10 May 2019). </w:t>
      </w:r>
    </w:p>
    <w:p w14:paraId="2AEF418F" w14:textId="77777777" w:rsidR="00AB03AA" w:rsidRDefault="00AB03AA" w:rsidP="007851E1">
      <w:pPr>
        <w:pStyle w:val="EndnoteText"/>
        <w:numPr>
          <w:ilvl w:val="0"/>
          <w:numId w:val="3"/>
        </w:numPr>
        <w:jc w:val="both"/>
      </w:pPr>
      <w:r>
        <w:t xml:space="preserve"> Razavi-Far, R.; Chakrabarti, S.; Saif, M. Multi-step-ahead prediction techniques for Lithium-ion batteries condition prognosis. In Proceedings of the IEEE International Conference on Systems, Man, and Cybernetics, SMC 2016–Conference Proceedings, Budapest, Hungary, 9–12 October 2016; pp. 4675–4680. </w:t>
      </w:r>
    </w:p>
    <w:p w14:paraId="37B2E397" w14:textId="0E13EB3F" w:rsidR="00AB03AA" w:rsidRDefault="00AB03AA" w:rsidP="007851E1">
      <w:pPr>
        <w:pStyle w:val="EndnoteText"/>
        <w:numPr>
          <w:ilvl w:val="0"/>
          <w:numId w:val="3"/>
        </w:numPr>
        <w:jc w:val="both"/>
      </w:pPr>
      <w:r>
        <w:t xml:space="preserve">Coleman, M.; Kwan, L.C.; </w:t>
      </w:r>
      <w:proofErr w:type="spellStart"/>
      <w:r>
        <w:t>Chunbo</w:t>
      </w:r>
      <w:proofErr w:type="spellEnd"/>
      <w:r>
        <w:t xml:space="preserve">, Z.; Hurley, W.G. State-of-Charge Determination </w:t>
      </w:r>
      <w:proofErr w:type="gramStart"/>
      <w:r>
        <w:t>From</w:t>
      </w:r>
      <w:proofErr w:type="gramEnd"/>
      <w:r>
        <w:t xml:space="preserve"> EMF Voltage Estimation: Using Impedance, Terminal Voltage, and Current for Lead-Acid and Lithium-Ion Batteries. IEEE Trans. Ind. Electron. 2007, 54, 2550–2557.  </w:t>
      </w:r>
    </w:p>
    <w:p w14:paraId="64D1ED1F" w14:textId="3080B24D" w:rsidR="00AB03AA" w:rsidRDefault="00AB03AA" w:rsidP="007851E1">
      <w:pPr>
        <w:pStyle w:val="EndnoteText"/>
        <w:numPr>
          <w:ilvl w:val="0"/>
          <w:numId w:val="3"/>
        </w:numPr>
        <w:jc w:val="both"/>
      </w:pPr>
      <w:r>
        <w:t xml:space="preserve">Sun, Y.H.; Jou, H.L.; Wu, J.C. Aging Estimation Method for Lead-Acid Battery. IEEE Trans. Energy Convers. 2011, 26, 264–271. </w:t>
      </w:r>
    </w:p>
    <w:p w14:paraId="6482B339" w14:textId="77777777" w:rsidR="00AB03AA" w:rsidRDefault="00AB03AA" w:rsidP="007851E1">
      <w:pPr>
        <w:pStyle w:val="EndnoteText"/>
        <w:numPr>
          <w:ilvl w:val="0"/>
          <w:numId w:val="3"/>
        </w:numPr>
        <w:jc w:val="both"/>
      </w:pPr>
      <w:r>
        <w:t xml:space="preserve"> Liu, D.; Zhou, J.; Liao, H.; Peng, Y.; Peng, X. A Health Indicator Extraction and Optimization Framework for Lithium-Ion Battery Degradation </w:t>
      </w:r>
      <w:proofErr w:type="spellStart"/>
      <w:r>
        <w:t>Modeling</w:t>
      </w:r>
      <w:proofErr w:type="spellEnd"/>
      <w:r>
        <w:t xml:space="preserve"> and Prognostics. IEEE Trans. Syst. Man </w:t>
      </w:r>
      <w:proofErr w:type="spellStart"/>
      <w:r>
        <w:t>Cybern</w:t>
      </w:r>
      <w:proofErr w:type="spellEnd"/>
      <w:r>
        <w:t xml:space="preserve">. Syst. 2015, 45, 915–928. </w:t>
      </w:r>
    </w:p>
    <w:p w14:paraId="0522804E" w14:textId="76300D40" w:rsidR="00AB03AA" w:rsidRDefault="00AB03AA" w:rsidP="007851E1">
      <w:pPr>
        <w:pStyle w:val="EndnoteText"/>
        <w:numPr>
          <w:ilvl w:val="0"/>
          <w:numId w:val="3"/>
        </w:numPr>
        <w:jc w:val="both"/>
      </w:pPr>
      <w:r>
        <w:t xml:space="preserve"> Li, X.; Wang, Z.; Zhang, L.; Zou, C.; Dorrell, D.D. State-of-health estimation for Li-ion batteries by combing the incremental capacity analysis method with grey relational analysis. J. Power Sources 2019, 410–411, 106–114. </w:t>
      </w:r>
    </w:p>
    <w:p w14:paraId="17A0E7B6" w14:textId="2C7954A6" w:rsidR="00AB03AA" w:rsidRDefault="00AB03AA" w:rsidP="007851E1">
      <w:pPr>
        <w:pStyle w:val="EndnoteText"/>
        <w:numPr>
          <w:ilvl w:val="0"/>
          <w:numId w:val="3"/>
        </w:numPr>
        <w:jc w:val="both"/>
      </w:pPr>
      <w:r>
        <w:t xml:space="preserve"> Burnaev, E.V.; Panov, M.E.; Zaytsev, A.A. Regression on the basis of nonstationary Gaussian processes with Bayesian regularization. J. </w:t>
      </w:r>
      <w:proofErr w:type="spellStart"/>
      <w:r>
        <w:t>Commun</w:t>
      </w:r>
      <w:proofErr w:type="spellEnd"/>
      <w:r>
        <w:t xml:space="preserve">. Technol. Electron. 2016, 61, 661–671. </w:t>
      </w:r>
    </w:p>
    <w:p w14:paraId="12E5ED83" w14:textId="3B7065B3" w:rsidR="00AB03AA" w:rsidRDefault="00AB03AA" w:rsidP="007851E1">
      <w:pPr>
        <w:pStyle w:val="EndnoteText"/>
        <w:numPr>
          <w:ilvl w:val="0"/>
          <w:numId w:val="3"/>
        </w:numPr>
        <w:jc w:val="both"/>
      </w:pPr>
      <w:r>
        <w:t xml:space="preserve">Shi, J.Q.; Wang, B.; Murray-Smith, R.; Titterington, D.M. Gaussian process functional regression </w:t>
      </w:r>
      <w:proofErr w:type="spellStart"/>
      <w:r>
        <w:t>Modeling</w:t>
      </w:r>
      <w:proofErr w:type="spellEnd"/>
      <w:r>
        <w:t xml:space="preserve"> for batch data. Biometric 2007, 63, 714–723.  </w:t>
      </w:r>
    </w:p>
    <w:p w14:paraId="19D57D81" w14:textId="61FA631C" w:rsidR="00AB03AA" w:rsidRDefault="00AB03AA" w:rsidP="007851E1">
      <w:pPr>
        <w:pStyle w:val="EndnoteText"/>
        <w:numPr>
          <w:ilvl w:val="0"/>
          <w:numId w:val="3"/>
        </w:numPr>
        <w:jc w:val="both"/>
      </w:pPr>
      <w:r>
        <w:t xml:space="preserve">Pang, X.; Huang, R.; Wen, J.; Shi, Y.; Jia, J.; Zeng, J. A Lithium-ion Battery RUL Prediction Method Considering the Capacity Regeneration Phenomenon. Energies 2019, 12, 2247. </w:t>
      </w:r>
    </w:p>
    <w:p w14:paraId="067AF026" w14:textId="77777777" w:rsidR="00AB03AA" w:rsidRPr="00AB03AA" w:rsidRDefault="00AB03AA" w:rsidP="00AB03AA">
      <w:pPr>
        <w:rPr>
          <w:lang w:val="en-US"/>
        </w:rPr>
      </w:pPr>
    </w:p>
    <w:p w14:paraId="0F243967" w14:textId="77777777" w:rsidR="00AB03AA" w:rsidRPr="00AB03AA" w:rsidRDefault="00AB03AA" w:rsidP="00AB03AA">
      <w:pPr>
        <w:rPr>
          <w:lang w:val="en-US"/>
        </w:rPr>
      </w:pPr>
    </w:p>
    <w:sectPr w:rsidR="00AB03AA" w:rsidRPr="00AB03AA" w:rsidSect="002357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8A30B" w14:textId="77777777" w:rsidR="00BC49BA" w:rsidRDefault="00BC49BA" w:rsidP="001926B7">
      <w:pPr>
        <w:spacing w:after="0" w:line="240" w:lineRule="auto"/>
      </w:pPr>
      <w:r>
        <w:separator/>
      </w:r>
    </w:p>
  </w:endnote>
  <w:endnote w:type="continuationSeparator" w:id="0">
    <w:p w14:paraId="5F9F65E2" w14:textId="77777777" w:rsidR="00BC49BA" w:rsidRDefault="00BC49BA"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05F9EDF9" w:rsidR="00B338FC" w:rsidRDefault="00B338FC">
        <w:pPr>
          <w:pStyle w:val="Footer"/>
          <w:jc w:val="right"/>
        </w:pPr>
        <w:r w:rsidRPr="00DA0BA4">
          <w:fldChar w:fldCharType="begin"/>
        </w:r>
        <w:r w:rsidRPr="00DA0BA4">
          <w:instrText xml:space="preserve"> PAGE   \* MERGEFORMAT </w:instrText>
        </w:r>
        <w:r w:rsidRPr="00DA0BA4">
          <w:fldChar w:fldCharType="separate"/>
        </w:r>
        <w:r w:rsidR="005851BC">
          <w:rPr>
            <w:noProof/>
          </w:rPr>
          <w:t>8</w:t>
        </w:r>
        <w:r w:rsidRPr="00DA0BA4">
          <w:rPr>
            <w:noProof/>
          </w:rPr>
          <w:fldChar w:fldCharType="end"/>
        </w:r>
      </w:p>
    </w:sdtContent>
  </w:sdt>
  <w:p w14:paraId="7D2B4F6D" w14:textId="77777777" w:rsidR="00B338FC" w:rsidRDefault="00B33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B338FC" w:rsidRDefault="00B338FC">
    <w:pPr>
      <w:pStyle w:val="Footer"/>
      <w:jc w:val="right"/>
    </w:pPr>
  </w:p>
  <w:p w14:paraId="5C798C3D" w14:textId="77777777" w:rsidR="00B338FC" w:rsidRDefault="00B338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B338FC" w:rsidRDefault="00B338FC">
    <w:pPr>
      <w:pStyle w:val="Footer"/>
      <w:jc w:val="right"/>
    </w:pPr>
  </w:p>
  <w:p w14:paraId="4B25DCEF" w14:textId="77777777" w:rsidR="00B338FC" w:rsidRDefault="00B338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70EDAF66" w:rsidR="00B338FC" w:rsidRDefault="00B338FC">
        <w:pPr>
          <w:pStyle w:val="Footer"/>
          <w:jc w:val="right"/>
        </w:pPr>
        <w:r>
          <w:fldChar w:fldCharType="begin"/>
        </w:r>
        <w:r>
          <w:instrText xml:space="preserve"> PAGE   \* MERGEFORMAT </w:instrText>
        </w:r>
        <w:r>
          <w:fldChar w:fldCharType="separate"/>
        </w:r>
        <w:r w:rsidR="005851BC">
          <w:rPr>
            <w:noProof/>
          </w:rPr>
          <w:t>9</w:t>
        </w:r>
        <w:r>
          <w:rPr>
            <w:noProof/>
          </w:rPr>
          <w:fldChar w:fldCharType="end"/>
        </w:r>
      </w:p>
    </w:sdtContent>
  </w:sdt>
  <w:p w14:paraId="36F4A135" w14:textId="77777777" w:rsidR="00B338FC" w:rsidRDefault="00B33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DBF6" w14:textId="77777777" w:rsidR="00BC49BA" w:rsidRDefault="00BC49BA" w:rsidP="001926B7">
      <w:pPr>
        <w:spacing w:after="0" w:line="240" w:lineRule="auto"/>
      </w:pPr>
      <w:r>
        <w:separator/>
      </w:r>
    </w:p>
  </w:footnote>
  <w:footnote w:type="continuationSeparator" w:id="0">
    <w:p w14:paraId="4568F0AB" w14:textId="77777777" w:rsidR="00BC49BA" w:rsidRDefault="00BC49BA"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931"/>
    <w:multiLevelType w:val="hybridMultilevel"/>
    <w:tmpl w:val="39CEE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467F43"/>
    <w:multiLevelType w:val="hybridMultilevel"/>
    <w:tmpl w:val="6BE219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005"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E8E3D25"/>
    <w:multiLevelType w:val="multilevel"/>
    <w:tmpl w:val="84320FEA"/>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4" w15:restartNumberingAfterBreak="0">
    <w:nsid w:val="7CF93CCE"/>
    <w:multiLevelType w:val="hybridMultilevel"/>
    <w:tmpl w:val="0B2274E4"/>
    <w:lvl w:ilvl="0" w:tplc="5604481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0172043">
    <w:abstractNumId w:val="2"/>
  </w:num>
  <w:num w:numId="2" w16cid:durableId="248083852">
    <w:abstractNumId w:val="3"/>
  </w:num>
  <w:num w:numId="3" w16cid:durableId="794254825">
    <w:abstractNumId w:val="0"/>
  </w:num>
  <w:num w:numId="4" w16cid:durableId="1492989127">
    <w:abstractNumId w:val="1"/>
  </w:num>
  <w:num w:numId="5" w16cid:durableId="79518020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54A"/>
    <w:rsid w:val="00002002"/>
    <w:rsid w:val="000136D3"/>
    <w:rsid w:val="00014D46"/>
    <w:rsid w:val="000225C9"/>
    <w:rsid w:val="00026C7F"/>
    <w:rsid w:val="00030D34"/>
    <w:rsid w:val="000312F9"/>
    <w:rsid w:val="00031A3E"/>
    <w:rsid w:val="00044295"/>
    <w:rsid w:val="000453D6"/>
    <w:rsid w:val="00045561"/>
    <w:rsid w:val="00046748"/>
    <w:rsid w:val="0006728F"/>
    <w:rsid w:val="00070E5E"/>
    <w:rsid w:val="00093E14"/>
    <w:rsid w:val="000A1944"/>
    <w:rsid w:val="000A4CA7"/>
    <w:rsid w:val="000A5DE8"/>
    <w:rsid w:val="000C4F8B"/>
    <w:rsid w:val="000D6D94"/>
    <w:rsid w:val="000E03E8"/>
    <w:rsid w:val="000E0755"/>
    <w:rsid w:val="00105128"/>
    <w:rsid w:val="00107893"/>
    <w:rsid w:val="00116192"/>
    <w:rsid w:val="0012509B"/>
    <w:rsid w:val="00127F01"/>
    <w:rsid w:val="001360C6"/>
    <w:rsid w:val="00146907"/>
    <w:rsid w:val="00154005"/>
    <w:rsid w:val="001554BA"/>
    <w:rsid w:val="001728FD"/>
    <w:rsid w:val="001926B7"/>
    <w:rsid w:val="001A32C0"/>
    <w:rsid w:val="001A58D2"/>
    <w:rsid w:val="001A678D"/>
    <w:rsid w:val="001B4DAD"/>
    <w:rsid w:val="001C05A3"/>
    <w:rsid w:val="001C3DF3"/>
    <w:rsid w:val="001C4728"/>
    <w:rsid w:val="001C72E1"/>
    <w:rsid w:val="001D0C7E"/>
    <w:rsid w:val="001E20EE"/>
    <w:rsid w:val="001F49AA"/>
    <w:rsid w:val="001F5261"/>
    <w:rsid w:val="001F6D45"/>
    <w:rsid w:val="002039A4"/>
    <w:rsid w:val="00205961"/>
    <w:rsid w:val="00213143"/>
    <w:rsid w:val="00233A03"/>
    <w:rsid w:val="002349FA"/>
    <w:rsid w:val="002357F0"/>
    <w:rsid w:val="00256209"/>
    <w:rsid w:val="00265A3F"/>
    <w:rsid w:val="002667B6"/>
    <w:rsid w:val="00281385"/>
    <w:rsid w:val="00290207"/>
    <w:rsid w:val="00290903"/>
    <w:rsid w:val="002A2231"/>
    <w:rsid w:val="002A6990"/>
    <w:rsid w:val="002B0295"/>
    <w:rsid w:val="002B4C7C"/>
    <w:rsid w:val="002B6D47"/>
    <w:rsid w:val="002C3E08"/>
    <w:rsid w:val="002D0D8B"/>
    <w:rsid w:val="002E2F02"/>
    <w:rsid w:val="002E6310"/>
    <w:rsid w:val="003019E2"/>
    <w:rsid w:val="00307FC6"/>
    <w:rsid w:val="00312F5B"/>
    <w:rsid w:val="0031396F"/>
    <w:rsid w:val="003151DA"/>
    <w:rsid w:val="00321D18"/>
    <w:rsid w:val="003228B2"/>
    <w:rsid w:val="00325AF4"/>
    <w:rsid w:val="00326801"/>
    <w:rsid w:val="00340BB0"/>
    <w:rsid w:val="00373118"/>
    <w:rsid w:val="003763C3"/>
    <w:rsid w:val="00376814"/>
    <w:rsid w:val="00383F50"/>
    <w:rsid w:val="00390649"/>
    <w:rsid w:val="0039078F"/>
    <w:rsid w:val="003A27AC"/>
    <w:rsid w:val="003A7EFD"/>
    <w:rsid w:val="003B7600"/>
    <w:rsid w:val="003C1BD7"/>
    <w:rsid w:val="003D42D9"/>
    <w:rsid w:val="003E2D1A"/>
    <w:rsid w:val="003E5FE0"/>
    <w:rsid w:val="003E6AAF"/>
    <w:rsid w:val="003F2AEE"/>
    <w:rsid w:val="00420F5E"/>
    <w:rsid w:val="0042292C"/>
    <w:rsid w:val="0043540D"/>
    <w:rsid w:val="004356E6"/>
    <w:rsid w:val="00436BBD"/>
    <w:rsid w:val="0044516A"/>
    <w:rsid w:val="00445BD1"/>
    <w:rsid w:val="00453CF2"/>
    <w:rsid w:val="00456364"/>
    <w:rsid w:val="00470186"/>
    <w:rsid w:val="00474AC0"/>
    <w:rsid w:val="00483D22"/>
    <w:rsid w:val="004B2FC3"/>
    <w:rsid w:val="004B7DB2"/>
    <w:rsid w:val="004C0EF9"/>
    <w:rsid w:val="004C375E"/>
    <w:rsid w:val="004D6CB8"/>
    <w:rsid w:val="004E0C93"/>
    <w:rsid w:val="004E6C32"/>
    <w:rsid w:val="004F0A8A"/>
    <w:rsid w:val="004F48E5"/>
    <w:rsid w:val="004F7D57"/>
    <w:rsid w:val="0051667C"/>
    <w:rsid w:val="0051779D"/>
    <w:rsid w:val="0052568A"/>
    <w:rsid w:val="00530CCA"/>
    <w:rsid w:val="00562FFC"/>
    <w:rsid w:val="005631CF"/>
    <w:rsid w:val="005657A9"/>
    <w:rsid w:val="00566595"/>
    <w:rsid w:val="00575252"/>
    <w:rsid w:val="005844F6"/>
    <w:rsid w:val="005851BC"/>
    <w:rsid w:val="00586945"/>
    <w:rsid w:val="00594119"/>
    <w:rsid w:val="005A174B"/>
    <w:rsid w:val="005A6317"/>
    <w:rsid w:val="005B1331"/>
    <w:rsid w:val="005B2C4A"/>
    <w:rsid w:val="005C0E4F"/>
    <w:rsid w:val="005C2101"/>
    <w:rsid w:val="005C36F5"/>
    <w:rsid w:val="005E46A9"/>
    <w:rsid w:val="005E4D84"/>
    <w:rsid w:val="005E56C1"/>
    <w:rsid w:val="0060620A"/>
    <w:rsid w:val="00606C4A"/>
    <w:rsid w:val="0061083D"/>
    <w:rsid w:val="00632320"/>
    <w:rsid w:val="00634A06"/>
    <w:rsid w:val="00635A22"/>
    <w:rsid w:val="006427F0"/>
    <w:rsid w:val="00660718"/>
    <w:rsid w:val="006742DD"/>
    <w:rsid w:val="006769A2"/>
    <w:rsid w:val="00676CEB"/>
    <w:rsid w:val="00677B94"/>
    <w:rsid w:val="00696655"/>
    <w:rsid w:val="006A5280"/>
    <w:rsid w:val="006B488D"/>
    <w:rsid w:val="006C08E5"/>
    <w:rsid w:val="006C6811"/>
    <w:rsid w:val="006F2CE8"/>
    <w:rsid w:val="006F41CD"/>
    <w:rsid w:val="006F6845"/>
    <w:rsid w:val="00701323"/>
    <w:rsid w:val="007019AD"/>
    <w:rsid w:val="007104C0"/>
    <w:rsid w:val="00711528"/>
    <w:rsid w:val="00733A43"/>
    <w:rsid w:val="0073429E"/>
    <w:rsid w:val="00734B1B"/>
    <w:rsid w:val="007352BF"/>
    <w:rsid w:val="00750BA5"/>
    <w:rsid w:val="00767117"/>
    <w:rsid w:val="007718C9"/>
    <w:rsid w:val="00781A84"/>
    <w:rsid w:val="007851E1"/>
    <w:rsid w:val="007857E1"/>
    <w:rsid w:val="007B1909"/>
    <w:rsid w:val="007B31F0"/>
    <w:rsid w:val="007C1831"/>
    <w:rsid w:val="007C2E93"/>
    <w:rsid w:val="007E01A6"/>
    <w:rsid w:val="007E288A"/>
    <w:rsid w:val="007E554A"/>
    <w:rsid w:val="0080017E"/>
    <w:rsid w:val="008020B4"/>
    <w:rsid w:val="0081304D"/>
    <w:rsid w:val="00813394"/>
    <w:rsid w:val="008157D9"/>
    <w:rsid w:val="00820B6A"/>
    <w:rsid w:val="00820D1D"/>
    <w:rsid w:val="00824EB3"/>
    <w:rsid w:val="00830E61"/>
    <w:rsid w:val="0083348D"/>
    <w:rsid w:val="008508FC"/>
    <w:rsid w:val="0086231E"/>
    <w:rsid w:val="00864C64"/>
    <w:rsid w:val="00866B02"/>
    <w:rsid w:val="00872DD5"/>
    <w:rsid w:val="0087595B"/>
    <w:rsid w:val="008774D4"/>
    <w:rsid w:val="0087769E"/>
    <w:rsid w:val="00880EE6"/>
    <w:rsid w:val="00886208"/>
    <w:rsid w:val="00895BF9"/>
    <w:rsid w:val="008A2515"/>
    <w:rsid w:val="008A3168"/>
    <w:rsid w:val="008B117C"/>
    <w:rsid w:val="008C003F"/>
    <w:rsid w:val="008C1432"/>
    <w:rsid w:val="008C23B3"/>
    <w:rsid w:val="008C7584"/>
    <w:rsid w:val="008D18C3"/>
    <w:rsid w:val="008E39CC"/>
    <w:rsid w:val="008F29E1"/>
    <w:rsid w:val="0090392A"/>
    <w:rsid w:val="00910B7D"/>
    <w:rsid w:val="00921CE5"/>
    <w:rsid w:val="00940014"/>
    <w:rsid w:val="00957C1A"/>
    <w:rsid w:val="00962CA1"/>
    <w:rsid w:val="0098653B"/>
    <w:rsid w:val="009B514F"/>
    <w:rsid w:val="009C3DC1"/>
    <w:rsid w:val="009D0BF9"/>
    <w:rsid w:val="00A05384"/>
    <w:rsid w:val="00A1404B"/>
    <w:rsid w:val="00A15846"/>
    <w:rsid w:val="00A1662F"/>
    <w:rsid w:val="00A2384D"/>
    <w:rsid w:val="00A27918"/>
    <w:rsid w:val="00A437C3"/>
    <w:rsid w:val="00A43DCE"/>
    <w:rsid w:val="00A45F03"/>
    <w:rsid w:val="00A53346"/>
    <w:rsid w:val="00A5649F"/>
    <w:rsid w:val="00A71C89"/>
    <w:rsid w:val="00A940F7"/>
    <w:rsid w:val="00AA546C"/>
    <w:rsid w:val="00AA621B"/>
    <w:rsid w:val="00AB03AA"/>
    <w:rsid w:val="00AB2264"/>
    <w:rsid w:val="00AB27CC"/>
    <w:rsid w:val="00AD53E7"/>
    <w:rsid w:val="00AD57C6"/>
    <w:rsid w:val="00AE2EF6"/>
    <w:rsid w:val="00B0760F"/>
    <w:rsid w:val="00B079D2"/>
    <w:rsid w:val="00B1166D"/>
    <w:rsid w:val="00B2673F"/>
    <w:rsid w:val="00B338FC"/>
    <w:rsid w:val="00B43992"/>
    <w:rsid w:val="00B600C9"/>
    <w:rsid w:val="00B62BB2"/>
    <w:rsid w:val="00B673D6"/>
    <w:rsid w:val="00B74CB0"/>
    <w:rsid w:val="00B77CE1"/>
    <w:rsid w:val="00B801E9"/>
    <w:rsid w:val="00B86ECD"/>
    <w:rsid w:val="00B965C4"/>
    <w:rsid w:val="00BA08BD"/>
    <w:rsid w:val="00BA19E2"/>
    <w:rsid w:val="00BA6C66"/>
    <w:rsid w:val="00BA7A95"/>
    <w:rsid w:val="00BC2D1E"/>
    <w:rsid w:val="00BC3FF0"/>
    <w:rsid w:val="00BC49BA"/>
    <w:rsid w:val="00BD0D99"/>
    <w:rsid w:val="00BD3F85"/>
    <w:rsid w:val="00BD42C9"/>
    <w:rsid w:val="00BE1BF8"/>
    <w:rsid w:val="00C02FBE"/>
    <w:rsid w:val="00C06A18"/>
    <w:rsid w:val="00C06DF6"/>
    <w:rsid w:val="00C12D7C"/>
    <w:rsid w:val="00C16AFB"/>
    <w:rsid w:val="00C2657A"/>
    <w:rsid w:val="00C32FD2"/>
    <w:rsid w:val="00C47633"/>
    <w:rsid w:val="00C503D5"/>
    <w:rsid w:val="00C51621"/>
    <w:rsid w:val="00C51A2B"/>
    <w:rsid w:val="00C54DA1"/>
    <w:rsid w:val="00C66377"/>
    <w:rsid w:val="00C6795F"/>
    <w:rsid w:val="00C85F7A"/>
    <w:rsid w:val="00C908C8"/>
    <w:rsid w:val="00CA732C"/>
    <w:rsid w:val="00CB0D84"/>
    <w:rsid w:val="00CC1391"/>
    <w:rsid w:val="00CC25FC"/>
    <w:rsid w:val="00CD2F68"/>
    <w:rsid w:val="00CD787E"/>
    <w:rsid w:val="00CE73D0"/>
    <w:rsid w:val="00CF2118"/>
    <w:rsid w:val="00CF2FFB"/>
    <w:rsid w:val="00D11565"/>
    <w:rsid w:val="00D11E01"/>
    <w:rsid w:val="00D12539"/>
    <w:rsid w:val="00D165BE"/>
    <w:rsid w:val="00D213FA"/>
    <w:rsid w:val="00D235C9"/>
    <w:rsid w:val="00D274B4"/>
    <w:rsid w:val="00D36410"/>
    <w:rsid w:val="00D41193"/>
    <w:rsid w:val="00D56861"/>
    <w:rsid w:val="00D60330"/>
    <w:rsid w:val="00D615F2"/>
    <w:rsid w:val="00D61A23"/>
    <w:rsid w:val="00D70556"/>
    <w:rsid w:val="00D81AA3"/>
    <w:rsid w:val="00D9544C"/>
    <w:rsid w:val="00D9742B"/>
    <w:rsid w:val="00DA0BA4"/>
    <w:rsid w:val="00DA2638"/>
    <w:rsid w:val="00DB4F0C"/>
    <w:rsid w:val="00DC23B3"/>
    <w:rsid w:val="00DD2905"/>
    <w:rsid w:val="00DD778E"/>
    <w:rsid w:val="00DE3B5A"/>
    <w:rsid w:val="00DF0B44"/>
    <w:rsid w:val="00DF0E15"/>
    <w:rsid w:val="00DF7E5B"/>
    <w:rsid w:val="00E00B13"/>
    <w:rsid w:val="00E02E38"/>
    <w:rsid w:val="00E03818"/>
    <w:rsid w:val="00E05722"/>
    <w:rsid w:val="00E202CC"/>
    <w:rsid w:val="00E20E8F"/>
    <w:rsid w:val="00E44EA3"/>
    <w:rsid w:val="00E526A6"/>
    <w:rsid w:val="00E7131A"/>
    <w:rsid w:val="00E724C4"/>
    <w:rsid w:val="00E86CE6"/>
    <w:rsid w:val="00E93342"/>
    <w:rsid w:val="00E9384E"/>
    <w:rsid w:val="00E940FE"/>
    <w:rsid w:val="00EA1940"/>
    <w:rsid w:val="00EA3099"/>
    <w:rsid w:val="00EB1293"/>
    <w:rsid w:val="00EC14C9"/>
    <w:rsid w:val="00EC3268"/>
    <w:rsid w:val="00EE528B"/>
    <w:rsid w:val="00F13B49"/>
    <w:rsid w:val="00F211B6"/>
    <w:rsid w:val="00F3148A"/>
    <w:rsid w:val="00F31AA2"/>
    <w:rsid w:val="00F50014"/>
    <w:rsid w:val="00F66B50"/>
    <w:rsid w:val="00F821FC"/>
    <w:rsid w:val="00F9067D"/>
    <w:rsid w:val="00FA43A6"/>
    <w:rsid w:val="00FB335F"/>
    <w:rsid w:val="00FB7AF9"/>
    <w:rsid w:val="00FD5FF2"/>
    <w:rsid w:val="00FE1B29"/>
    <w:rsid w:val="00FE20BD"/>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21B"/>
    <w:rPr>
      <w:rFonts w:ascii="Book Antiqua" w:hAnsi="Book Antiqua"/>
    </w:rPr>
  </w:style>
  <w:style w:type="paragraph" w:styleId="Heading1">
    <w:name w:val="heading 1"/>
    <w:basedOn w:val="Normal"/>
    <w:next w:val="Normal"/>
    <w:link w:val="Heading1Char"/>
    <w:autoRedefine/>
    <w:uiPriority w:val="9"/>
    <w:qFormat/>
    <w:rsid w:val="00044295"/>
    <w:pPr>
      <w:keepNext/>
      <w:keepLines/>
      <w:numPr>
        <w:numId w:val="2"/>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3D42D9"/>
    <w:pPr>
      <w:keepNext/>
      <w:keepLines/>
      <w:spacing w:before="40" w:after="0"/>
      <w:jc w:val="both"/>
      <w:outlineLvl w:val="1"/>
    </w:pPr>
    <w:rPr>
      <w:rFonts w:eastAsiaTheme="majorEastAsia" w:cstheme="majorBidi"/>
      <w:b/>
      <w:sz w:val="28"/>
      <w:szCs w:val="28"/>
      <w:lang w:val="en-US"/>
    </w:rPr>
  </w:style>
  <w:style w:type="paragraph" w:styleId="Heading3">
    <w:name w:val="heading 3"/>
    <w:basedOn w:val="Normal"/>
    <w:next w:val="Normal"/>
    <w:link w:val="Heading3Char"/>
    <w:autoRedefine/>
    <w:uiPriority w:val="9"/>
    <w:unhideWhenUsed/>
    <w:qFormat/>
    <w:rsid w:val="00957C1A"/>
    <w:pPr>
      <w:keepNext/>
      <w:keepLines/>
      <w:spacing w:before="40" w:after="0"/>
      <w:outlineLvl w:val="2"/>
    </w:pPr>
    <w:rPr>
      <w:rFonts w:eastAsiaTheme="majorEastAsia" w:cstheme="majorBidi"/>
      <w:b/>
      <w:szCs w:val="24"/>
      <w:lang w:val="en-US"/>
    </w:rPr>
  </w:style>
  <w:style w:type="paragraph" w:styleId="Heading4">
    <w:name w:val="heading 4"/>
    <w:basedOn w:val="Normal"/>
    <w:next w:val="Normal"/>
    <w:link w:val="Heading4Char"/>
    <w:uiPriority w:val="9"/>
    <w:semiHidden/>
    <w:unhideWhenUsed/>
    <w:qFormat/>
    <w:rsid w:val="000225C9"/>
    <w:pPr>
      <w:keepNext/>
      <w:keepLines/>
      <w:numPr>
        <w:ilvl w:val="3"/>
        <w:numId w:val="1"/>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295"/>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3D42D9"/>
    <w:rPr>
      <w:rFonts w:ascii="Book Antiqua" w:eastAsiaTheme="majorEastAsia" w:hAnsi="Book Antiqua" w:cstheme="majorBidi"/>
      <w:b/>
      <w:sz w:val="28"/>
      <w:szCs w:val="28"/>
      <w:lang w:val="en-US"/>
    </w:rPr>
  </w:style>
  <w:style w:type="character" w:customStyle="1" w:styleId="Heading3Char">
    <w:name w:val="Heading 3 Char"/>
    <w:basedOn w:val="DefaultParagraphFont"/>
    <w:link w:val="Heading3"/>
    <w:uiPriority w:val="9"/>
    <w:rsid w:val="00957C1A"/>
    <w:rPr>
      <w:rFonts w:ascii="Book Antiqua" w:eastAsiaTheme="majorEastAsia" w:hAnsi="Book Antiqua" w:cstheme="majorBidi"/>
      <w:b/>
      <w:szCs w:val="24"/>
      <w:lang w:val="en-US"/>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customStyle="1" w:styleId="UnresolvedMention1">
    <w:name w:val="Unresolved Mention1"/>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paragraph" w:styleId="NormalWeb">
    <w:name w:val="Normal (Web)"/>
    <w:basedOn w:val="Normal"/>
    <w:uiPriority w:val="99"/>
    <w:unhideWhenUsed/>
    <w:rsid w:val="00390649"/>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390649"/>
    <w:rPr>
      <w:b/>
      <w:bCs/>
    </w:rPr>
  </w:style>
  <w:style w:type="character" w:styleId="Emphasis">
    <w:name w:val="Emphasis"/>
    <w:basedOn w:val="DefaultParagraphFont"/>
    <w:uiPriority w:val="20"/>
    <w:qFormat/>
    <w:rsid w:val="00146907"/>
    <w:rPr>
      <w:i/>
      <w:iCs/>
    </w:rPr>
  </w:style>
  <w:style w:type="character" w:styleId="IntenseEmphasis">
    <w:name w:val="Intense Emphasis"/>
    <w:basedOn w:val="DefaultParagraphFont"/>
    <w:uiPriority w:val="21"/>
    <w:qFormat/>
    <w:rsid w:val="00BC3FF0"/>
    <w:rPr>
      <w:i/>
      <w:iCs/>
      <w:color w:val="4472C4" w:themeColor="accent1"/>
    </w:rPr>
  </w:style>
  <w:style w:type="table" w:styleId="TableGrid">
    <w:name w:val="Table Grid"/>
    <w:basedOn w:val="TableNormal"/>
    <w:uiPriority w:val="39"/>
    <w:rsid w:val="00EC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C37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75E"/>
    <w:rPr>
      <w:rFonts w:ascii="Book Antiqua" w:hAnsi="Book Antiqua"/>
      <w:sz w:val="20"/>
      <w:szCs w:val="20"/>
    </w:rPr>
  </w:style>
  <w:style w:type="character" w:styleId="EndnoteReference">
    <w:name w:val="endnote reference"/>
    <w:basedOn w:val="DefaultParagraphFont"/>
    <w:uiPriority w:val="99"/>
    <w:semiHidden/>
    <w:unhideWhenUsed/>
    <w:rsid w:val="004C375E"/>
    <w:rPr>
      <w:vertAlign w:val="superscript"/>
    </w:rPr>
  </w:style>
  <w:style w:type="paragraph" w:styleId="NoSpacing">
    <w:name w:val="No Spacing"/>
    <w:uiPriority w:val="1"/>
    <w:qFormat/>
    <w:rsid w:val="006427F0"/>
    <w:pPr>
      <w:spacing w:after="0" w:line="240" w:lineRule="auto"/>
    </w:pPr>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4862">
      <w:bodyDiv w:val="1"/>
      <w:marLeft w:val="0"/>
      <w:marRight w:val="0"/>
      <w:marTop w:val="0"/>
      <w:marBottom w:val="0"/>
      <w:divBdr>
        <w:top w:val="none" w:sz="0" w:space="0" w:color="auto"/>
        <w:left w:val="none" w:sz="0" w:space="0" w:color="auto"/>
        <w:bottom w:val="none" w:sz="0" w:space="0" w:color="auto"/>
        <w:right w:val="none" w:sz="0" w:space="0" w:color="auto"/>
      </w:divBdr>
    </w:div>
    <w:div w:id="253708721">
      <w:bodyDiv w:val="1"/>
      <w:marLeft w:val="0"/>
      <w:marRight w:val="0"/>
      <w:marTop w:val="0"/>
      <w:marBottom w:val="0"/>
      <w:divBdr>
        <w:top w:val="none" w:sz="0" w:space="0" w:color="auto"/>
        <w:left w:val="none" w:sz="0" w:space="0" w:color="auto"/>
        <w:bottom w:val="none" w:sz="0" w:space="0" w:color="auto"/>
        <w:right w:val="none" w:sz="0" w:space="0" w:color="auto"/>
      </w:divBdr>
    </w:div>
    <w:div w:id="355010910">
      <w:bodyDiv w:val="1"/>
      <w:marLeft w:val="0"/>
      <w:marRight w:val="0"/>
      <w:marTop w:val="0"/>
      <w:marBottom w:val="0"/>
      <w:divBdr>
        <w:top w:val="none" w:sz="0" w:space="0" w:color="auto"/>
        <w:left w:val="none" w:sz="0" w:space="0" w:color="auto"/>
        <w:bottom w:val="none" w:sz="0" w:space="0" w:color="auto"/>
        <w:right w:val="none" w:sz="0" w:space="0" w:color="auto"/>
      </w:divBdr>
    </w:div>
    <w:div w:id="1164586315">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823085294">
      <w:bodyDiv w:val="1"/>
      <w:marLeft w:val="0"/>
      <w:marRight w:val="0"/>
      <w:marTop w:val="0"/>
      <w:marBottom w:val="0"/>
      <w:divBdr>
        <w:top w:val="none" w:sz="0" w:space="0" w:color="auto"/>
        <w:left w:val="none" w:sz="0" w:space="0" w:color="auto"/>
        <w:bottom w:val="none" w:sz="0" w:space="0" w:color="auto"/>
        <w:right w:val="none" w:sz="0" w:space="0" w:color="auto"/>
      </w:divBdr>
    </w:div>
    <w:div w:id="20151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51E8B-45D2-4778-A280-3866F933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28</Pages>
  <Words>4980</Words>
  <Characters>30771</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g</dc:creator>
  <cp:keywords/>
  <dc:description/>
  <cp:lastModifiedBy>revanth g</cp:lastModifiedBy>
  <cp:revision>15</cp:revision>
  <cp:lastPrinted>2023-12-04T11:10:00Z</cp:lastPrinted>
  <dcterms:created xsi:type="dcterms:W3CDTF">2023-12-04T11:09:00Z</dcterms:created>
  <dcterms:modified xsi:type="dcterms:W3CDTF">2023-12-09T05:05:00Z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86d2e7c5310af8f02ea80988a724e5722df8d29847cf6ec2dffa1b3c0d05dc12</vt:lpwstr>
  </property>
</Properties>
</file>